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Failure to question the epistemology behind the 1AC has real implications on women’s lives. </w:t>
      </w:r>
    </w:p>
    <w:p>
      <w:pPr>
        <w:spacing w:after="80"/>
      </w:pPr>
      <w:r>
        <w:rPr>
          <w:b/>
          <w:i w:val="0"/>
          <w:smallCaps w:val="0"/>
          <w:strike w:val="0"/>
          <w:sz w:val="26"/>
          <w:u w:val="none"/>
        </w:rPr>
        <w:t xml:space="preserve">Foster 11 </w:t>
      </w:r>
      <w:r>
        <w:rPr>
          <w:b w:val="0"/>
          <w:i w:val="0"/>
          <w:smallCaps w:val="0"/>
          <w:strike w:val="0"/>
          <w:sz w:val="20"/>
          <w:u w:val="none"/>
        </w:rPr>
        <w:t>[(Laura Foster, Associate professor at Indiana University Bloomington with a Ph.D. in Women’s Studies from University of California) “Situating Feminism Patent Law and The Public Domain, Colombia Journal of Gender and Law Volume 20 Number 1, Pages 306-307, Jan 1</w:t>
      </w:r>
      <w:r>
        <w:rPr>
          <w:b w:val="0"/>
          <w:i w:val="0"/>
          <w:smallCaps w:val="0"/>
          <w:strike w:val="0"/>
          <w:sz w:val="20"/>
          <w:u w:val="none"/>
        </w:rPr>
        <w:t xml:space="preserve"> 2011</w:t>
      </w:r>
      <w:r>
        <w:rPr>
          <w:b w:val="0"/>
          <w:i w:val="0"/>
          <w:smallCaps w:val="0"/>
          <w:strike w:val="0"/>
          <w:sz w:val="20"/>
          <w:u w:val="none"/>
        </w:rPr>
        <w:t xml:space="preserve">” https://journals.library.columbia.edu/index.php/cjgl/article/view/2614] </w:t>
      </w:r>
      <w:r>
        <w:rPr>
          <w:b w:val="0"/>
          <w:i w:val="0"/>
          <w:smallCaps w:val="0"/>
          <w:strike w:val="0"/>
          <w:sz w:val="20"/>
          <w:u w:val="none"/>
        </w:rPr>
        <w:t>hwkm</w:t>
      </w:r>
    </w:p>
    <w:p>
      <w:pPr>
        <w:spacing w:after="60"/>
      </w:pPr>
      <w:r>
        <w:rPr>
          <w:b w:val="0"/>
          <w:i w:val="0"/>
          <w:smallCaps w:val="0"/>
          <w:strike w:val="0"/>
          <w:sz w:val="16"/>
          <w:u w:val="none"/>
        </w:rPr>
        <w:t xml:space="preserve">Emerging scholarship contributing to the field of women’s studies examines the </w:t>
      </w:r>
      <w:r>
        <w:rPr>
          <w:b w:val="0"/>
          <w:i w:val="0"/>
          <w:smallCaps w:val="0"/>
          <w:strike w:val="0"/>
          <w:highlight w:val="cyan"/>
          <w:u w:val="single"/>
        </w:rPr>
        <w:t>relationship between</w:t>
      </w:r>
      <w:r>
        <w:rPr>
          <w:b w:val="0"/>
          <w:i w:val="0"/>
          <w:smallCaps w:val="0"/>
          <w:strike w:val="0"/>
          <w:sz w:val="16"/>
          <w:u w:val="none"/>
        </w:rPr>
        <w:t xml:space="preserve">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and </w:t>
      </w:r>
      <w:r>
        <w:rPr>
          <w:b/>
          <w:i w:val="0"/>
          <w:smallCaps w:val="0"/>
          <w:strike w:val="0"/>
          <w:highlight w:val="cyan"/>
          <w:u w:val="single"/>
        </w:rPr>
        <w:t>gender</w:t>
      </w:r>
      <w:r>
        <w:rPr>
          <w:b w:val="0"/>
          <w:i w:val="0"/>
          <w:smallCaps w:val="0"/>
          <w:strike w:val="0"/>
          <w:sz w:val="16"/>
          <w:u w:val="none"/>
        </w:rPr>
        <w:t xml:space="preserve">. Scholars from a range of disciplines ask how intellectual property law relates to gendered social relations. Historians analyze nineteenth century patent activity in the United States to show how female patent ownership increased when laws of coverture were abolished.157 Sociologists provide </w:t>
      </w:r>
      <w:r>
        <w:rPr>
          <w:b w:val="0"/>
          <w:i w:val="0"/>
          <w:smallCaps w:val="0"/>
          <w:strike w:val="0"/>
          <w:u w:val="single"/>
        </w:rPr>
        <w:t>empirical evidence</w:t>
      </w:r>
      <w:r>
        <w:rPr>
          <w:b w:val="0"/>
          <w:i w:val="0"/>
          <w:smallCaps w:val="0"/>
          <w:strike w:val="0"/>
          <w:sz w:val="16"/>
          <w:u w:val="none"/>
        </w:rPr>
        <w:t xml:space="preserve"> that </w:t>
      </w:r>
      <w:r>
        <w:rPr>
          <w:b w:val="0"/>
          <w:i w:val="0"/>
          <w:smallCaps w:val="0"/>
          <w:strike w:val="0"/>
          <w:highlight w:val="cyan"/>
          <w:u w:val="single"/>
        </w:rPr>
        <w:t>female</w:t>
      </w:r>
      <w:r>
        <w:rPr>
          <w:b w:val="0"/>
          <w:i w:val="0"/>
          <w:smallCaps w:val="0"/>
          <w:strike w:val="0"/>
          <w:sz w:val="16"/>
          <w:u w:val="none"/>
        </w:rPr>
        <w:t xml:space="preserve"> life </w:t>
      </w:r>
      <w:r>
        <w:rPr>
          <w:b w:val="0"/>
          <w:i w:val="0"/>
          <w:smallCaps w:val="0"/>
          <w:strike w:val="0"/>
          <w:highlight w:val="cyan"/>
          <w:u w:val="single"/>
        </w:rPr>
        <w:t xml:space="preserve">scientists hold </w:t>
      </w:r>
      <w:r>
        <w:rPr>
          <w:b/>
          <w:i w:val="0"/>
          <w:smallCaps w:val="0"/>
          <w:strike w:val="0"/>
          <w:highlight w:val="cyan"/>
          <w:u w:val="single"/>
        </w:rPr>
        <w:t>fewer</w:t>
      </w:r>
      <w:r>
        <w:rPr>
          <w:b w:val="0"/>
          <w:i w:val="0"/>
          <w:smallCaps w:val="0"/>
          <w:strike w:val="0"/>
          <w:sz w:val="16"/>
          <w:u w:val="none"/>
        </w:rPr>
        <w:t xml:space="preserve"> United States </w:t>
      </w:r>
      <w:r>
        <w:rPr>
          <w:b w:val="0"/>
          <w:i w:val="0"/>
          <w:smallCaps w:val="0"/>
          <w:strike w:val="0"/>
          <w:highlight w:val="cyan"/>
          <w:u w:val="single"/>
        </w:rPr>
        <w:t>patents than</w:t>
      </w:r>
      <w:r>
        <w:rPr>
          <w:b w:val="0"/>
          <w:i w:val="0"/>
          <w:smallCaps w:val="0"/>
          <w:strike w:val="0"/>
          <w:sz w:val="16"/>
          <w:u w:val="none"/>
        </w:rPr>
        <w:t xml:space="preserve"> their </w:t>
      </w:r>
      <w:r>
        <w:rPr>
          <w:b/>
          <w:i w:val="0"/>
          <w:smallCaps w:val="0"/>
          <w:strike w:val="0"/>
          <w:highlight w:val="cyan"/>
          <w:u w:val="single"/>
        </w:rPr>
        <w:t>male colleagues</w:t>
      </w:r>
      <w:r>
        <w:rPr>
          <w:b w:val="0"/>
          <w:i w:val="0"/>
          <w:smallCaps w:val="0"/>
          <w:strike w:val="0"/>
          <w:sz w:val="16"/>
          <w:u w:val="none"/>
        </w:rPr>
        <w:t xml:space="preserve"> and are </w:t>
      </w:r>
      <w:r>
        <w:rPr>
          <w:b w:val="0"/>
          <w:i w:val="0"/>
          <w:smallCaps w:val="0"/>
          <w:strike w:val="0"/>
          <w:highlight w:val="cyan"/>
          <w:u w:val="single"/>
        </w:rPr>
        <w:t>less likely to disclose inventions</w:t>
      </w:r>
      <w:r>
        <w:rPr>
          <w:b w:val="0"/>
          <w:i w:val="0"/>
          <w:smallCaps w:val="0"/>
          <w:strike w:val="0"/>
          <w:u w:val="single"/>
        </w:rPr>
        <w:t xml:space="preserve"> to</w:t>
      </w:r>
      <w:r>
        <w:rPr>
          <w:b w:val="0"/>
          <w:i w:val="0"/>
          <w:smallCaps w:val="0"/>
          <w:strike w:val="0"/>
          <w:sz w:val="16"/>
          <w:u w:val="none"/>
        </w:rPr>
        <w:t xml:space="preserve"> their university </w:t>
      </w:r>
      <w:r>
        <w:rPr>
          <w:b w:val="0"/>
          <w:i w:val="0"/>
          <w:smallCaps w:val="0"/>
          <w:strike w:val="0"/>
          <w:u w:val="single"/>
        </w:rPr>
        <w:t>tech</w:t>
      </w:r>
      <w:r>
        <w:rPr>
          <w:b w:val="0"/>
          <w:i w:val="0"/>
          <w:smallCaps w:val="0"/>
          <w:strike w:val="0"/>
          <w:sz w:val="16"/>
          <w:u w:val="none"/>
        </w:rPr>
        <w:t xml:space="preserve">nology </w:t>
      </w:r>
      <w:r>
        <w:rPr>
          <w:b w:val="0"/>
          <w:i w:val="0"/>
          <w:smallCaps w:val="0"/>
          <w:strike w:val="0"/>
          <w:u w:val="single"/>
        </w:rPr>
        <w:t>transfer</w:t>
      </w:r>
      <w:r>
        <w:rPr>
          <w:b w:val="0"/>
          <w:i w:val="0"/>
          <w:smallCaps w:val="0"/>
          <w:strike w:val="0"/>
          <w:sz w:val="16"/>
          <w:u w:val="none"/>
        </w:rPr>
        <w:t xml:space="preserve"> office.158 In addition, </w:t>
      </w:r>
      <w:r>
        <w:rPr>
          <w:b w:val="0"/>
          <w:i w:val="0"/>
          <w:smallCaps w:val="0"/>
          <w:strike w:val="0"/>
          <w:u w:val="single"/>
        </w:rPr>
        <w:t xml:space="preserve">legal </w:t>
      </w:r>
      <w:r>
        <w:rPr>
          <w:b w:val="0"/>
          <w:i w:val="0"/>
          <w:smallCaps w:val="0"/>
          <w:strike w:val="0"/>
          <w:highlight w:val="cyan"/>
          <w:u w:val="single"/>
        </w:rPr>
        <w:t>scholars question</w:t>
      </w:r>
      <w:r>
        <w:rPr>
          <w:b w:val="0"/>
          <w:i w:val="0"/>
          <w:smallCaps w:val="0"/>
          <w:strike w:val="0"/>
          <w:sz w:val="16"/>
          <w:u w:val="none"/>
        </w:rPr>
        <w:t xml:space="preserve"> the </w:t>
      </w:r>
      <w:r>
        <w:rPr>
          <w:b/>
          <w:i w:val="0"/>
          <w:smallCaps w:val="0"/>
          <w:strike w:val="0"/>
          <w:highlight w:val="cyan"/>
          <w:u w:val="single"/>
        </w:rPr>
        <w:t>epistemological foundations</w:t>
      </w:r>
      <w:r>
        <w:rPr>
          <w:b w:val="0"/>
          <w:i w:val="0"/>
          <w:smallCaps w:val="0"/>
          <w:strike w:val="0"/>
          <w:highlight w:val="cyan"/>
          <w:u w:val="single"/>
        </w:rPr>
        <w:t xml:space="preserve"> of </w:t>
      </w:r>
      <w:r>
        <w:rPr>
          <w:b/>
          <w:i w:val="0"/>
          <w:smallCaps w:val="0"/>
          <w:strike w:val="0"/>
          <w:highlight w:val="cyan"/>
          <w:u w:val="single"/>
        </w:rPr>
        <w:t>intellectual property law</w:t>
      </w:r>
      <w:r>
        <w:rPr>
          <w:b w:val="0"/>
          <w:i w:val="0"/>
          <w:smallCaps w:val="0"/>
          <w:strike w:val="0"/>
          <w:highlight w:val="cyan"/>
          <w:u w:val="single"/>
        </w:rPr>
        <w:t xml:space="preserve"> grounded in</w:t>
      </w:r>
      <w:r>
        <w:rPr>
          <w:b w:val="0"/>
          <w:i w:val="0"/>
          <w:smallCaps w:val="0"/>
          <w:strike w:val="0"/>
          <w:sz w:val="16"/>
          <w:u w:val="none"/>
        </w:rPr>
        <w:t xml:space="preserve"> Enlightenment </w:t>
      </w:r>
      <w:r>
        <w:rPr>
          <w:b w:val="0"/>
          <w:i w:val="0"/>
          <w:smallCaps w:val="0"/>
          <w:strike w:val="0"/>
          <w:highlight w:val="cyan"/>
          <w:u w:val="single"/>
        </w:rPr>
        <w:t>notions of</w:t>
      </w:r>
      <w:r>
        <w:rPr>
          <w:b w:val="0"/>
          <w:i w:val="0"/>
          <w:smallCaps w:val="0"/>
          <w:strike w:val="0"/>
          <w:u w:val="single"/>
        </w:rPr>
        <w:t xml:space="preserve"> </w:t>
      </w:r>
      <w:r>
        <w:rPr>
          <w:b w:val="0"/>
          <w:i w:val="0"/>
          <w:smallCaps w:val="0"/>
          <w:strike w:val="0"/>
          <w:sz w:val="16"/>
          <w:u w:val="none"/>
        </w:rPr>
        <w:t xml:space="preserve">an individual </w:t>
      </w:r>
      <w:r>
        <w:rPr>
          <w:b w:val="0"/>
          <w:i w:val="0"/>
          <w:smallCaps w:val="0"/>
          <w:strike w:val="0"/>
          <w:u w:val="single"/>
        </w:rPr>
        <w:t>inventor creating</w:t>
      </w:r>
      <w:r>
        <w:rPr>
          <w:b w:val="0"/>
          <w:i w:val="0"/>
          <w:smallCaps w:val="0"/>
          <w:strike w:val="0"/>
          <w:sz w:val="16"/>
          <w:u w:val="none"/>
        </w:rPr>
        <w:t xml:space="preserve"> and molding </w:t>
      </w:r>
      <w:r>
        <w:rPr>
          <w:b w:val="0"/>
          <w:i w:val="0"/>
          <w:smallCaps w:val="0"/>
          <w:strike w:val="0"/>
          <w:u w:val="single"/>
        </w:rPr>
        <w:t>through</w:t>
      </w:r>
      <w:r>
        <w:rPr>
          <w:b w:val="0"/>
          <w:i w:val="0"/>
          <w:smallCaps w:val="0"/>
          <w:strike w:val="0"/>
          <w:sz w:val="16"/>
          <w:u w:val="none"/>
        </w:rPr>
        <w:t xml:space="preserve"> faculties of disembodied </w:t>
      </w:r>
      <w:r>
        <w:rPr>
          <w:b w:val="0"/>
          <w:i w:val="0"/>
          <w:smallCaps w:val="0"/>
          <w:strike w:val="0"/>
          <w:u w:val="single"/>
        </w:rPr>
        <w:t>reasoning</w:t>
      </w:r>
      <w:r>
        <w:rPr>
          <w:b w:val="0"/>
          <w:i w:val="0"/>
          <w:smallCaps w:val="0"/>
          <w:strike w:val="0"/>
          <w:sz w:val="16"/>
          <w:u w:val="none"/>
        </w:rPr>
        <w:t xml:space="preserve"> and objectivity </w:t>
      </w:r>
      <w:r>
        <w:rPr>
          <w:b w:val="0"/>
          <w:i w:val="0"/>
          <w:smallCaps w:val="0"/>
          <w:strike w:val="0"/>
          <w:u w:val="single"/>
        </w:rPr>
        <w:t xml:space="preserve">associated with conceptions of </w:t>
      </w:r>
      <w:r>
        <w:rPr>
          <w:b/>
          <w:i w:val="0"/>
          <w:smallCaps w:val="0"/>
          <w:strike w:val="0"/>
          <w:highlight w:val="cyan"/>
          <w:u w:val="single"/>
        </w:rPr>
        <w:t>masculinity</w:t>
      </w:r>
      <w:r>
        <w:rPr>
          <w:b w:val="0"/>
          <w:i w:val="0"/>
          <w:smallCaps w:val="0"/>
          <w:strike w:val="0"/>
          <w:sz w:val="16"/>
          <w:u w:val="none"/>
        </w:rPr>
        <w:t xml:space="preserve">.159 Legal </w:t>
      </w:r>
      <w:r>
        <w:rPr>
          <w:b w:val="0"/>
          <w:i w:val="0"/>
          <w:smallCaps w:val="0"/>
          <w:strike w:val="0"/>
          <w:u w:val="single"/>
        </w:rPr>
        <w:t>scholars</w:t>
      </w:r>
      <w:r>
        <w:rPr>
          <w:b w:val="0"/>
          <w:i w:val="0"/>
          <w:smallCaps w:val="0"/>
          <w:strike w:val="0"/>
          <w:sz w:val="16"/>
          <w:u w:val="none"/>
        </w:rPr>
        <w:t xml:space="preserve"> also </w:t>
      </w:r>
      <w:r>
        <w:rPr>
          <w:b w:val="0"/>
          <w:i w:val="0"/>
          <w:smallCaps w:val="0"/>
          <w:strike w:val="0"/>
          <w:u w:val="single"/>
        </w:rPr>
        <w:t>warn</w:t>
      </w:r>
      <w:r>
        <w:rPr>
          <w:b w:val="0"/>
          <w:i w:val="0"/>
          <w:smallCaps w:val="0"/>
          <w:strike w:val="0"/>
          <w:sz w:val="16"/>
          <w:u w:val="none"/>
        </w:rPr>
        <w:t xml:space="preserve"> that </w:t>
      </w:r>
      <w:r>
        <w:rPr>
          <w:b w:val="0"/>
          <w:i w:val="0"/>
          <w:smallCaps w:val="0"/>
          <w:strike w:val="0"/>
          <w:u w:val="single"/>
        </w:rPr>
        <w:t>patent law</w:t>
      </w:r>
      <w:r>
        <w:rPr>
          <w:b w:val="0"/>
          <w:i w:val="0"/>
          <w:smallCaps w:val="0"/>
          <w:strike w:val="0"/>
          <w:sz w:val="16"/>
          <w:u w:val="none"/>
        </w:rPr>
        <w:t xml:space="preserve"> can </w:t>
      </w:r>
      <w:r>
        <w:rPr>
          <w:b w:val="0"/>
          <w:i w:val="0"/>
          <w:smallCaps w:val="0"/>
          <w:strike w:val="0"/>
          <w:highlight w:val="cyan"/>
          <w:u w:val="single"/>
        </w:rPr>
        <w:t xml:space="preserve">threaten </w:t>
      </w:r>
      <w:r>
        <w:rPr>
          <w:b/>
          <w:i w:val="0"/>
          <w:smallCaps w:val="0"/>
          <w:strike w:val="0"/>
          <w:highlight w:val="cyan"/>
          <w:u w:val="single"/>
        </w:rPr>
        <w:t>women’s health care</w:t>
      </w:r>
      <w:r>
        <w:rPr>
          <w:b w:val="0"/>
          <w:i w:val="0"/>
          <w:smallCaps w:val="0"/>
          <w:strike w:val="0"/>
          <w:sz w:val="16"/>
          <w:u w:val="none"/>
        </w:rPr>
        <w:t xml:space="preserve">, for example, </w:t>
      </w:r>
      <w:r>
        <w:rPr>
          <w:b w:val="0"/>
          <w:i w:val="0"/>
          <w:smallCaps w:val="0"/>
          <w:strike w:val="0"/>
          <w:u w:val="single"/>
        </w:rPr>
        <w:t>in the case of breast cancer gene patents</w:t>
      </w:r>
      <w:r>
        <w:rPr>
          <w:b w:val="0"/>
          <w:i w:val="0"/>
          <w:smallCaps w:val="0"/>
          <w:strike w:val="0"/>
          <w:sz w:val="16"/>
          <w:u w:val="none"/>
        </w:rPr>
        <w:t xml:space="preserve">.160 This is exciting and important work. Intellectual property has become a site for feminist inquiry. An aim of this section is to discuss and analyze this emerging scholarship further </w:t>
      </w:r>
      <w:r>
        <w:rPr>
          <w:b w:val="0"/>
          <w:i w:val="0"/>
          <w:smallCaps w:val="0"/>
          <w:strike w:val="0"/>
          <w:sz w:val="16"/>
          <w:u w:val="none"/>
        </w:rPr>
        <w:t>in order to</w:t>
      </w:r>
      <w:r>
        <w:rPr>
          <w:b w:val="0"/>
          <w:i w:val="0"/>
          <w:smallCaps w:val="0"/>
          <w:strike w:val="0"/>
          <w:sz w:val="16"/>
          <w:u w:val="none"/>
        </w:rPr>
        <w:t xml:space="preserve"> bring it firmly into critical intellectual property scholarship. </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