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Monopolization uses </w:t>
      </w:r>
      <w:r>
        <w:rPr>
          <w:b/>
          <w:i w:val="0"/>
          <w:smallCaps w:val="0"/>
          <w:strike w:val="0"/>
          <w:sz w:val="26"/>
          <w:u w:val="none"/>
        </w:rPr>
        <w:t>su</w:t>
      </w:r>
      <w:r>
        <w:rPr>
          <w:b/>
          <w:i w:val="0"/>
          <w:smallCaps w:val="0"/>
          <w:strike w:val="0"/>
          <w:sz w:val="26"/>
          <w:u w:val="none"/>
        </w:rPr>
        <w:t>pracompetitive</w:t>
      </w:r>
      <w:r>
        <w:rPr>
          <w:b/>
          <w:i w:val="0"/>
          <w:smallCaps w:val="0"/>
          <w:strike w:val="0"/>
          <w:sz w:val="26"/>
          <w:u w:val="none"/>
        </w:rPr>
        <w:t xml:space="preserve"> prices to economically oppress women, foreclosing them from engaging in market participation </w:t>
      </w:r>
    </w:p>
    <w:p>
      <w:pPr>
        <w:spacing w:after="80"/>
      </w:pPr>
      <w:r>
        <w:rPr>
          <w:b w:val="0"/>
          <w:i w:val="0"/>
          <w:smallCaps w:val="0"/>
          <w:strike w:val="0"/>
          <w:u w:val="none"/>
        </w:rPr>
        <w:t xml:space="preserve">Amy T </w:t>
      </w:r>
      <w:r>
        <w:rPr>
          <w:b/>
          <w:i w:val="0"/>
          <w:smallCaps w:val="0"/>
          <w:strike w:val="0"/>
          <w:sz w:val="26"/>
          <w:u w:val="none"/>
        </w:rPr>
        <w:t>Brantly</w:t>
      </w:r>
      <w:r>
        <w:rPr>
          <w:b w:val="0"/>
          <w:i w:val="0"/>
          <w:smallCaps w:val="0"/>
          <w:strike w:val="0"/>
          <w:u w:val="none"/>
        </w:rPr>
        <w:t xml:space="preserve"> Jennifer M </w:t>
      </w:r>
      <w:r>
        <w:rPr>
          <w:b/>
          <w:i w:val="0"/>
          <w:smallCaps w:val="0"/>
          <w:strike w:val="0"/>
          <w:sz w:val="26"/>
          <w:u w:val="none"/>
        </w:rPr>
        <w:t>Oliver</w:t>
      </w:r>
      <w:r>
        <w:rPr>
          <w:b w:val="0"/>
          <w:i w:val="0"/>
          <w:smallCaps w:val="0"/>
          <w:strike w:val="0"/>
          <w:u w:val="none"/>
        </w:rPr>
        <w:t xml:space="preserve"> 20</w:t>
      </w:r>
      <w:r>
        <w:rPr>
          <w:b/>
          <w:i w:val="0"/>
          <w:smallCaps w:val="0"/>
          <w:strike w:val="0"/>
          <w:sz w:val="26"/>
          <w:u w:val="none"/>
        </w:rPr>
        <w:t>21</w:t>
      </w:r>
      <w:r>
        <w:rPr>
          <w:b w:val="0"/>
          <w:i w:val="0"/>
          <w:smallCaps w:val="0"/>
          <w:strike w:val="0"/>
          <w:u w:val="none"/>
        </w:rPr>
        <w:t xml:space="preserve"> “THE CORRELATION BETWEEN ANTITRUST ENFORCEMENT AND GENDER EQUALITY” </w:t>
      </w:r>
      <w:r>
        <w:rPr>
          <w:b w:val="0"/>
          <w:i w:val="0"/>
          <w:smallCaps w:val="0"/>
          <w:strike w:val="0"/>
          <w:u w:val="none"/>
        </w:rPr>
        <w:t xml:space="preserve"> Amy T. Brantly is a founding partner of Kesselman Brantly Stockinger LLP specializing in antitrust and business litigation. The views expressed herein are solely those of Ms. Brantly and are not attributed to her law firm. Ms. Brantly would like to give special thanks to Samantha Pannier who assisted in research for this article Jennifer M. Oliver is a partner at </w:t>
      </w:r>
      <w:r>
        <w:rPr>
          <w:b w:val="0"/>
          <w:i w:val="0"/>
          <w:smallCaps w:val="0"/>
          <w:strike w:val="0"/>
          <w:u w:val="none"/>
        </w:rPr>
        <w:t>MoginRubin</w:t>
      </w:r>
      <w:r>
        <w:rPr>
          <w:b w:val="0"/>
          <w:i w:val="0"/>
          <w:smallCaps w:val="0"/>
          <w:strike w:val="0"/>
          <w:u w:val="none"/>
        </w:rPr>
        <w:t xml:space="preserve"> LLP, where she specializes in antitrust litigation and merger control work, privacy litigation, and general business litigation. Jennifer is also an officer of the CLA Privacy Section. The views expressed herein are solely Ms. Oliver’s and are not attributed to her law firm // </w:t>
      </w:r>
      <w:r>
        <w:rPr>
          <w:b w:val="0"/>
          <w:i w:val="0"/>
          <w:smallCaps w:val="0"/>
          <w:strike w:val="0"/>
          <w:u w:val="none"/>
        </w:rPr>
        <w:t>stobo</w:t>
      </w:r>
    </w:p>
    <w:p>
      <w:pPr>
        <w:spacing w:after="60"/>
      </w:pPr>
      <w:r>
        <w:rPr>
          <w:b w:val="0"/>
          <w:i w:val="0"/>
          <w:smallCaps w:val="0"/>
          <w:strike w:val="0"/>
          <w:sz w:val="16"/>
          <w:u w:val="none"/>
        </w:rPr>
        <w:t>First</w:t>
      </w:r>
      <w:r>
        <w:rPr>
          <w:b w:val="0"/>
          <w:i w:val="0"/>
          <w:smallCaps w:val="0"/>
          <w:strike w:val="0"/>
          <w:sz w:val="16"/>
          <w:highlight w:val="cyan"/>
          <w:u w:val="none"/>
        </w:rPr>
        <w:t xml:space="preserve">, </w:t>
      </w:r>
      <w:r>
        <w:rPr>
          <w:b w:val="0"/>
          <w:i w:val="0"/>
          <w:smallCaps w:val="0"/>
          <w:strike w:val="0"/>
          <w:sz w:val="22"/>
          <w:highlight w:val="cyan"/>
          <w:u w:val="single"/>
        </w:rPr>
        <w:t>women bear the brunt of</w:t>
      </w:r>
      <w:r>
        <w:rPr>
          <w:b w:val="0"/>
          <w:i w:val="0"/>
          <w:smallCaps w:val="0"/>
          <w:strike w:val="0"/>
          <w:sz w:val="22"/>
          <w:u w:val="single"/>
        </w:rPr>
        <w:t xml:space="preserve"> anticompetitive and </w:t>
      </w:r>
      <w:r>
        <w:rPr>
          <w:b w:val="0"/>
          <w:i w:val="0"/>
          <w:smallCaps w:val="0"/>
          <w:strike w:val="0"/>
          <w:sz w:val="22"/>
          <w:highlight w:val="cyan"/>
          <w:u w:val="single"/>
        </w:rPr>
        <w:t>monopolistic behaviors</w:t>
      </w:r>
      <w:r>
        <w:rPr>
          <w:b w:val="0"/>
          <w:i w:val="0"/>
          <w:smallCaps w:val="0"/>
          <w:strike w:val="0"/>
          <w:sz w:val="16"/>
          <w:u w:val="none"/>
        </w:rPr>
        <w:t xml:space="preserve"> in their role as consumers. Firms with market power </w:t>
      </w:r>
      <w:r>
        <w:rPr>
          <w:b w:val="0"/>
          <w:i w:val="0"/>
          <w:smallCaps w:val="0"/>
          <w:strike w:val="0"/>
          <w:sz w:val="16"/>
          <w:u w:val="none"/>
        </w:rPr>
        <w:t>have the ability to</w:t>
      </w:r>
      <w:r>
        <w:rPr>
          <w:b w:val="0"/>
          <w:i w:val="0"/>
          <w:smallCaps w:val="0"/>
          <w:strike w:val="0"/>
          <w:sz w:val="16"/>
          <w:u w:val="none"/>
        </w:rPr>
        <w:t xml:space="preserve"> impose elevated prices with fewer competitive restraints. Without competition, a </w:t>
      </w:r>
      <w:r>
        <w:rPr>
          <w:b w:val="0"/>
          <w:i w:val="0"/>
          <w:smallCaps w:val="0"/>
          <w:strike w:val="0"/>
          <w:sz w:val="22"/>
          <w:highlight w:val="cyan"/>
          <w:u w:val="single"/>
        </w:rPr>
        <w:t>monopoly’s price is the market price</w:t>
      </w:r>
      <w:r>
        <w:rPr>
          <w:b w:val="0"/>
          <w:i w:val="0"/>
          <w:smallCaps w:val="0"/>
          <w:strike w:val="0"/>
          <w:sz w:val="16"/>
          <w:u w:val="none"/>
        </w:rPr>
        <w:t xml:space="preserve">. Even when faced with high prices, </w:t>
      </w:r>
      <w:r>
        <w:rPr>
          <w:b w:val="0"/>
          <w:i w:val="0"/>
          <w:smallCaps w:val="0"/>
          <w:strike w:val="0"/>
          <w:sz w:val="22"/>
          <w:highlight w:val="cyan"/>
          <w:u w:val="single"/>
        </w:rPr>
        <w:t>consumers</w:t>
      </w:r>
      <w:r>
        <w:rPr>
          <w:b w:val="0"/>
          <w:i w:val="0"/>
          <w:smallCaps w:val="0"/>
          <w:strike w:val="0"/>
          <w:sz w:val="22"/>
          <w:u w:val="single"/>
        </w:rPr>
        <w:t xml:space="preserve"> often </w:t>
      </w:r>
      <w:r>
        <w:rPr>
          <w:b w:val="0"/>
          <w:i w:val="0"/>
          <w:smallCaps w:val="0"/>
          <w:strike w:val="0"/>
          <w:sz w:val="22"/>
          <w:highlight w:val="cyan"/>
          <w:u w:val="single"/>
        </w:rPr>
        <w:t>cannot substitute the monopoly’s product</w:t>
      </w:r>
      <w:r>
        <w:rPr>
          <w:b w:val="0"/>
          <w:i w:val="0"/>
          <w:smallCaps w:val="0"/>
          <w:strike w:val="0"/>
          <w:sz w:val="22"/>
          <w:u w:val="single"/>
        </w:rPr>
        <w:t xml:space="preserve"> for a more affordable alternative</w:t>
      </w:r>
      <w:r>
        <w:rPr>
          <w:b w:val="0"/>
          <w:i w:val="0"/>
          <w:smallCaps w:val="0"/>
          <w:strike w:val="0"/>
          <w:sz w:val="16"/>
          <w:u w:val="none"/>
        </w:rPr>
        <w:t xml:space="preserve">. </w:t>
      </w:r>
      <w:r>
        <w:rPr>
          <w:b/>
          <w:i w:val="0"/>
          <w:smallCaps w:val="0"/>
          <w:strike w:val="0"/>
          <w:sz w:val="22"/>
          <w:highlight w:val="cyan"/>
          <w:u w:val="single"/>
        </w:rPr>
        <w:t>Supracompetitive</w:t>
      </w:r>
      <w:r>
        <w:rPr>
          <w:b w:val="0"/>
          <w:i w:val="0"/>
          <w:smallCaps w:val="0"/>
          <w:strike w:val="0"/>
          <w:sz w:val="16"/>
          <w:u w:val="none"/>
        </w:rPr>
        <w:t xml:space="preserve"> </w:t>
      </w:r>
      <w:r>
        <w:rPr>
          <w:b/>
          <w:i w:val="0"/>
          <w:smallCaps w:val="0"/>
          <w:strike w:val="0"/>
          <w:sz w:val="22"/>
          <w:highlight w:val="cyan"/>
          <w:u w:val="single"/>
        </w:rPr>
        <w:t>pricing</w:t>
      </w:r>
      <w:r>
        <w:rPr>
          <w:b w:val="0"/>
          <w:i w:val="0"/>
          <w:smallCaps w:val="0"/>
          <w:strike w:val="0"/>
          <w:sz w:val="16"/>
          <w:u w:val="none"/>
        </w:rPr>
        <w:t xml:space="preserve">—the </w:t>
      </w:r>
      <w:r>
        <w:rPr>
          <w:b/>
          <w:i w:val="0"/>
          <w:smallCaps w:val="0"/>
          <w:strike w:val="0"/>
          <w:sz w:val="22"/>
          <w:u w:val="single"/>
        </w:rPr>
        <w:t xml:space="preserve">classic </w:t>
      </w:r>
      <w:r>
        <w:rPr>
          <w:b/>
          <w:i w:val="0"/>
          <w:smallCaps w:val="0"/>
          <w:strike w:val="0"/>
          <w:sz w:val="22"/>
          <w:highlight w:val="cyan"/>
          <w:u w:val="single"/>
        </w:rPr>
        <w:t>measure of antitrust harm</w:t>
      </w:r>
      <w:r>
        <w:rPr>
          <w:b w:val="0"/>
          <w:i w:val="0"/>
          <w:smallCaps w:val="0"/>
          <w:strike w:val="0"/>
          <w:sz w:val="16"/>
          <w:u w:val="none"/>
        </w:rPr>
        <w:t>—</w:t>
      </w:r>
      <w:r>
        <w:rPr>
          <w:b w:val="0"/>
          <w:i w:val="0"/>
          <w:smallCaps w:val="0"/>
          <w:strike w:val="0"/>
          <w:sz w:val="22"/>
          <w:u w:val="single"/>
        </w:rPr>
        <w:t>disproportionately affects women</w:t>
      </w:r>
      <w:r>
        <w:rPr>
          <w:b w:val="0"/>
          <w:i w:val="0"/>
          <w:smallCaps w:val="0"/>
          <w:strike w:val="0"/>
          <w:sz w:val="16"/>
          <w:u w:val="none"/>
        </w:rPr>
        <w:t xml:space="preserve">, because women drive a staggering 70-80% of all </w:t>
      </w:r>
      <w:r>
        <w:rPr>
          <w:b w:val="0"/>
          <w:i w:val="0"/>
          <w:smallCaps w:val="0"/>
          <w:strike w:val="0"/>
          <w:sz w:val="16"/>
          <w:u w:val="none"/>
        </w:rPr>
        <w:t>consumer</w:t>
      </w:r>
      <w:r>
        <w:rPr>
          <w:b w:val="0"/>
          <w:i w:val="0"/>
          <w:smallCaps w:val="0"/>
          <w:strike w:val="0"/>
          <w:sz w:val="16"/>
          <w:u w:val="none"/>
        </w:rPr>
        <w:t xml:space="preserve"> purchasing in this country. 3 Women also find themselves the </w:t>
      </w:r>
      <w:r>
        <w:rPr>
          <w:b w:val="0"/>
          <w:i w:val="0"/>
          <w:smallCaps w:val="0"/>
          <w:strike w:val="0"/>
          <w:sz w:val="22"/>
          <w:highlight w:val="cyan"/>
          <w:u w:val="single"/>
        </w:rPr>
        <w:t>targets of price discrimination</w:t>
      </w:r>
      <w:r>
        <w:rPr>
          <w:b w:val="0"/>
          <w:i w:val="0"/>
          <w:smallCaps w:val="0"/>
          <w:strike w:val="0"/>
          <w:sz w:val="16"/>
          <w:u w:val="none"/>
        </w:rPr>
        <w:t xml:space="preserve"> more often than their male counterparts, a relic of the outdated notion that women are spendthrift "shopaholics." One study conducted by the New York City Department of Consumer Affairs found that products marketed towards women and girls cost an average of 7 percent more than those marketed towards boys and men.4 Researchers have dubbed this phenomenon </w:t>
      </w:r>
      <w:r>
        <w:rPr>
          <w:b/>
          <w:i w:val="0"/>
          <w:smallCaps w:val="0"/>
          <w:strike w:val="0"/>
          <w:sz w:val="22"/>
          <w:u w:val="single"/>
        </w:rPr>
        <w:t xml:space="preserve">the </w:t>
      </w:r>
      <w:r>
        <w:rPr>
          <w:b/>
          <w:i w:val="0"/>
          <w:smallCaps w:val="0"/>
          <w:strike w:val="0"/>
          <w:sz w:val="22"/>
          <w:highlight w:val="cyan"/>
          <w:u w:val="single"/>
        </w:rPr>
        <w:t>"pink tax</w:t>
      </w:r>
      <w:r>
        <w:rPr>
          <w:b/>
          <w:i w:val="0"/>
          <w:smallCaps w:val="0"/>
          <w:strike w:val="0"/>
          <w:sz w:val="22"/>
          <w:u w:val="single"/>
        </w:rPr>
        <w:t>,"</w:t>
      </w:r>
      <w:r>
        <w:rPr>
          <w:b w:val="0"/>
          <w:i w:val="0"/>
          <w:smallCaps w:val="0"/>
          <w:strike w:val="0"/>
          <w:sz w:val="16"/>
          <w:u w:val="none"/>
        </w:rPr>
        <w:t xml:space="preserve"> and it is estimated to cost the average woman $1,351 per year.5 [Page 116] And, as discussed below, </w:t>
      </w:r>
      <w:r>
        <w:rPr>
          <w:b w:val="0"/>
          <w:i w:val="0"/>
          <w:smallCaps w:val="0"/>
          <w:strike w:val="0"/>
          <w:sz w:val="22"/>
          <w:u w:val="single"/>
        </w:rPr>
        <w:t xml:space="preserve">in the labor market </w:t>
      </w:r>
      <w:r>
        <w:rPr>
          <w:b w:val="0"/>
          <w:i w:val="0"/>
          <w:smallCaps w:val="0"/>
          <w:strike w:val="0"/>
          <w:sz w:val="22"/>
          <w:highlight w:val="cyan"/>
          <w:u w:val="single"/>
        </w:rPr>
        <w:t>women are systematically underpaid</w:t>
      </w:r>
      <w:r>
        <w:rPr>
          <w:b w:val="0"/>
          <w:i w:val="0"/>
          <w:smallCaps w:val="0"/>
          <w:strike w:val="0"/>
          <w:sz w:val="22"/>
          <w:u w:val="single"/>
        </w:rPr>
        <w:t xml:space="preserve"> compared to their male counterparts</w:t>
      </w:r>
      <w:r>
        <w:rPr>
          <w:b w:val="0"/>
          <w:i w:val="0"/>
          <w:smallCaps w:val="0"/>
          <w:strike w:val="0"/>
          <w:sz w:val="16"/>
          <w:u w:val="none"/>
        </w:rPr>
        <w:t xml:space="preserve">. The lower income the consumer, the more they are harmed since </w:t>
      </w:r>
      <w:r>
        <w:rPr>
          <w:b w:val="0"/>
          <w:i w:val="0"/>
          <w:smallCaps w:val="0"/>
          <w:strike w:val="0"/>
          <w:sz w:val="22"/>
          <w:highlight w:val="cyan"/>
          <w:u w:val="single"/>
        </w:rPr>
        <w:t>higher income consumers can more easily absorb monopoly rents</w:t>
      </w:r>
      <w:r>
        <w:rPr>
          <w:b w:val="0"/>
          <w:i w:val="0"/>
          <w:smallCaps w:val="0"/>
          <w:strike w:val="0"/>
          <w:sz w:val="22"/>
          <w:u w:val="single"/>
        </w:rPr>
        <w:t xml:space="preserve"> than customers with less buying power</w:t>
      </w:r>
      <w:r>
        <w:rPr>
          <w:b w:val="0"/>
          <w:i w:val="0"/>
          <w:smallCaps w:val="0"/>
          <w:strike w:val="0"/>
          <w:sz w:val="16"/>
          <w:u w:val="none"/>
        </w:rPr>
        <w:t xml:space="preserve">. Second, women workers suffer an inordinate share of monopolization’s consequences. As Senator Elizabeth Warren said during a recent conference, studies show that market consolidation "contributes to driving down wages and driving up income inequality."6 Among myriad other negative effects, concentrated market structures reduce competition in the labor markets, which leads to </w:t>
      </w:r>
      <w:r>
        <w:rPr>
          <w:b w:val="0"/>
          <w:i w:val="0"/>
          <w:smallCaps w:val="0"/>
          <w:strike w:val="0"/>
          <w:sz w:val="22"/>
          <w:highlight w:val="cyan"/>
          <w:u w:val="single"/>
        </w:rPr>
        <w:t>wage suppression</w:t>
      </w:r>
      <w:r>
        <w:rPr>
          <w:b w:val="0"/>
          <w:i w:val="0"/>
          <w:smallCaps w:val="0"/>
          <w:strike w:val="0"/>
          <w:sz w:val="16"/>
          <w:u w:val="none"/>
        </w:rPr>
        <w:t xml:space="preserve">. Consider, for example, the In Re High-Tech "no poach" cases, in which the Department of Justice sued Google, Apple, and others for colluding and agreeing not to recruit one another’s employees.7 This behavior is not limited to skilled employees; in the franchise no poach cases, fast food workers brought a class action case alleging that forbidding franchisees from poaching one another’s employees violated antitrust law.8 As the High-Tech case demonstrates, in concentrated markets employee mobility declines, either because there are simply fewer firms to move to, or because the small number of firms in the market facilitates collusion to suppress mobility and wages. When employee mobility is suppressed, low-level workers have even fewer opportunities to achieve career advancement or increased pay by moving to, or threatening to move to, another firm. Again, this affects female workers more than male workers. Since the start of the COVID-19 pandemic, millions of women have lost their jobs or voluntarily left the workforce, and many of those women were low level workers without the means to hire outside help.9 The Bureau of Labor Statistics reports that 227,000 jobs were lost in December 2020, with women accounting for 196,000 of those jobs (86.3%).10 If and when these women return to the workforce, many will be entry and low-level workers. [Page 117] Likewise, when wages are suppressed, women, and especially women of color, are affected disproportionately. Women make 79 cents on the dollar compared to men in the same jobs, black women make just 62 cents, and Latina women only 54 cents.11 When wages shrink, so do women’s unequal share of the wage pool. High level executives, on the other hand, may benefit from the employee wage and mobility suppression in these concentrated markets, since lower wages and expenses associated with employee mobility drive up corporate profits. As of 2020, there are still nearly 13 American companies run by a man for every company run by a woman.12 Women of color hold an even smaller share of management roles in U.S. companies, with Latina women at just 4.3% and black women at just 4%.13 Gender inequality also distorts our view of the labor markets. More than 30 years ago economist Marilyn Waring conducted a worldwide study that found that if workers were hired to perform all the unpaid work that women perform, unpaid work would be the largest sector of the global economy.14 In 2020, the COVID-19 pandemic shed light on women’s unpaid work once again, causing some to call for stronger antitrust enforcement as a means to address outsized corporate power and address income inequality.15 Third, women entrepreneurs are disproportionately harmed by market concentration as well. While some argue that preserving consumer welfare is the singular paramount goal of American antitrust law, many others would agree that it should also seek to preserve the pathways that allow for new, efficient, innovative market entrants to compete. Monopolies are often bad for consumer welfare because, among other things, they have the power to exclude smaller firms that might otherwise contribute new, innovative, and/or less costly products to consumers. </w:t>
      </w:r>
      <w:r>
        <w:rPr>
          <w:b w:val="0"/>
          <w:i w:val="0"/>
          <w:smallCaps w:val="0"/>
          <w:strike w:val="0"/>
          <w:sz w:val="22"/>
          <w:highlight w:val="cyan"/>
          <w:u w:val="single"/>
        </w:rPr>
        <w:t>Women entrepreneurs are even more damaged</w:t>
      </w:r>
      <w:r>
        <w:rPr>
          <w:b w:val="0"/>
          <w:i w:val="0"/>
          <w:smallCaps w:val="0"/>
          <w:strike w:val="0"/>
          <w:sz w:val="22"/>
          <w:u w:val="single"/>
        </w:rPr>
        <w:t xml:space="preserve"> </w:t>
      </w:r>
      <w:r>
        <w:rPr>
          <w:b w:val="0"/>
          <w:i w:val="0"/>
          <w:smallCaps w:val="0"/>
          <w:strike w:val="0"/>
          <w:sz w:val="16"/>
          <w:u w:val="none"/>
        </w:rPr>
        <w:t xml:space="preserve">than other would-be market entrants in this regard. Overcoming the barriers to entry in a concentrated market requires cash. Yet less than 5% of startup investment goes to women,16 and the average loan for women-owned businesses is 31% less than for male-owned businesses.17 [Page 118] And just as monopoly firms can raise prices with minimal consequence, they can also refuse to serve customers, which can be detrimental or fatal to the companies that rely on the monopoly’s product to survive. Consider, for example, the dominant role Facebook and Google play in the market for digital advertising, and the many small companies that rely solely on their digital advertising reach for sales leads. </w:t>
      </w:r>
      <w:r>
        <w:rPr>
          <w:b w:val="0"/>
          <w:i w:val="0"/>
          <w:smallCaps w:val="0"/>
          <w:strike w:val="0"/>
          <w:sz w:val="22"/>
          <w:highlight w:val="cyan"/>
          <w:u w:val="single"/>
        </w:rPr>
        <w:t>If the monopoly</w:t>
      </w:r>
      <w:r>
        <w:rPr>
          <w:b w:val="0"/>
          <w:i w:val="0"/>
          <w:smallCaps w:val="0"/>
          <w:strike w:val="0"/>
          <w:sz w:val="22"/>
          <w:u w:val="single"/>
        </w:rPr>
        <w:t xml:space="preserve"> or oligopoly </w:t>
      </w:r>
      <w:r>
        <w:rPr>
          <w:b w:val="0"/>
          <w:i w:val="0"/>
          <w:smallCaps w:val="0"/>
          <w:strike w:val="0"/>
          <w:sz w:val="22"/>
          <w:highlight w:val="cyan"/>
          <w:u w:val="single"/>
        </w:rPr>
        <w:t>decides it will no longer serve</w:t>
      </w:r>
      <w:r>
        <w:rPr>
          <w:b w:val="0"/>
          <w:i w:val="0"/>
          <w:smallCaps w:val="0"/>
          <w:strike w:val="0"/>
          <w:sz w:val="22"/>
          <w:u w:val="single"/>
        </w:rPr>
        <w:t xml:space="preserve"> market </w:t>
      </w:r>
      <w:r>
        <w:rPr>
          <w:b w:val="0"/>
          <w:i w:val="0"/>
          <w:smallCaps w:val="0"/>
          <w:strike w:val="0"/>
          <w:sz w:val="22"/>
          <w:highlight w:val="cyan"/>
          <w:u w:val="single"/>
        </w:rPr>
        <w:t>participants that are less profitable for the monopolist</w:t>
      </w:r>
      <w:r>
        <w:rPr>
          <w:b w:val="0"/>
          <w:i w:val="0"/>
          <w:smallCaps w:val="0"/>
          <w:strike w:val="0"/>
          <w:sz w:val="22"/>
          <w:u w:val="single"/>
        </w:rPr>
        <w:t xml:space="preserve">, those competitors are </w:t>
      </w:r>
      <w:r>
        <w:rPr>
          <w:b w:val="0"/>
          <w:i w:val="0"/>
          <w:smallCaps w:val="0"/>
          <w:strike w:val="0"/>
          <w:sz w:val="22"/>
          <w:highlight w:val="cyan"/>
          <w:u w:val="single"/>
        </w:rPr>
        <w:t>disenfranchised from participating in the market</w:t>
      </w:r>
      <w:r>
        <w:rPr>
          <w:b w:val="0"/>
          <w:i w:val="0"/>
          <w:smallCaps w:val="0"/>
          <w:strike w:val="0"/>
          <w:sz w:val="22"/>
          <w:u w:val="single"/>
        </w:rPr>
        <w:t>.</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