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(x) </w:t>
      </w:r>
      <w:r>
        <w:rPr>
          <w:b/>
          <w:i w:val="0"/>
          <w:smallCaps w:val="0"/>
          <w:strike w:val="0"/>
          <w:sz w:val="26"/>
          <w:u w:val="single"/>
        </w:rPr>
        <w:t>EXCLUSION</w:t>
      </w:r>
      <w:r>
        <w:rPr>
          <w:b/>
          <w:i w:val="0"/>
          <w:smallCaps w:val="0"/>
          <w:strike w:val="0"/>
          <w:sz w:val="26"/>
          <w:u w:val="none"/>
        </w:rPr>
        <w:t xml:space="preserve">---expansion of copyright law stymies </w:t>
      </w:r>
      <w:r>
        <w:rPr>
          <w:b/>
          <w:i w:val="0"/>
          <w:smallCaps w:val="0"/>
          <w:strike w:val="0"/>
          <w:sz w:val="26"/>
          <w:u w:val="single"/>
        </w:rPr>
        <w:t xml:space="preserve">feminist </w:t>
      </w:r>
      <w:r>
        <w:rPr>
          <w:b/>
          <w:i w:val="0"/>
          <w:smallCaps w:val="0"/>
          <w:strike w:val="0"/>
          <w:sz w:val="26"/>
          <w:u w:val="single"/>
        </w:rPr>
        <w:t>creativity</w:t>
      </w:r>
      <w:r>
        <w:rPr>
          <w:b/>
          <w:i w:val="0"/>
          <w:smallCaps w:val="0"/>
          <w:strike w:val="0"/>
          <w:sz w:val="26"/>
          <w:u w:val="none"/>
        </w:rPr>
        <w:t>, and</w:t>
      </w:r>
      <w:r>
        <w:rPr>
          <w:b/>
          <w:i w:val="0"/>
          <w:smallCaps w:val="0"/>
          <w:strike w:val="0"/>
          <w:sz w:val="26"/>
          <w:u w:val="none"/>
        </w:rPr>
        <w:t xml:space="preserve"> is a </w:t>
      </w:r>
      <w:r>
        <w:rPr>
          <w:b/>
          <w:i w:val="0"/>
          <w:smallCaps w:val="0"/>
          <w:strike w:val="0"/>
          <w:sz w:val="26"/>
          <w:u w:val="single"/>
        </w:rPr>
        <w:t>patriarchal drive</w:t>
      </w:r>
      <w:r>
        <w:rPr>
          <w:b/>
          <w:i w:val="0"/>
          <w:smallCaps w:val="0"/>
          <w:strike w:val="0"/>
          <w:sz w:val="26"/>
          <w:u w:val="none"/>
        </w:rPr>
        <w:t xml:space="preserve"> to control </w:t>
      </w:r>
      <w:r>
        <w:rPr>
          <w:b/>
          <w:i w:val="0"/>
          <w:smallCaps w:val="0"/>
          <w:strike w:val="0"/>
          <w:sz w:val="26"/>
          <w:u w:val="single"/>
        </w:rPr>
        <w:t>women’s authorship</w:t>
      </w:r>
      <w:r>
        <w:rPr>
          <w:b/>
          <w:i w:val="0"/>
          <w:smallCaps w:val="0"/>
          <w:strike w:val="0"/>
          <w:sz w:val="26"/>
          <w:u w:val="none"/>
        </w:rPr>
        <w:t xml:space="preserve">. Only the alt’s </w:t>
      </w:r>
      <w:r>
        <w:rPr>
          <w:b/>
          <w:i w:val="0"/>
          <w:smallCaps w:val="0"/>
          <w:strike w:val="0"/>
          <w:sz w:val="26"/>
          <w:u w:val="single"/>
        </w:rPr>
        <w:t>feminist analysis</w:t>
      </w:r>
      <w:r>
        <w:rPr>
          <w:b/>
          <w:i w:val="0"/>
          <w:smallCaps w:val="0"/>
          <w:strike w:val="0"/>
          <w:sz w:val="26"/>
          <w:u w:val="none"/>
        </w:rPr>
        <w:t xml:space="preserve"> can solve. </w:t>
      </w:r>
    </w:p>
    <w:p>
      <w:pPr>
        <w:spacing w:after="80"/>
      </w:pPr>
      <w:r>
        <w:rPr>
          <w:b w:val="0"/>
          <w:i w:val="0"/>
          <w:smallCaps w:val="0"/>
          <w:strike w:val="0"/>
          <w:u w:val="none"/>
        </w:rPr>
        <w:t xml:space="preserve">William Michael </w:t>
      </w:r>
      <w:r>
        <w:rPr>
          <w:b/>
          <w:i w:val="0"/>
          <w:smallCaps w:val="0"/>
          <w:strike w:val="0"/>
          <w:sz w:val="26"/>
          <w:u w:val="none"/>
        </w:rPr>
        <w:t>Schuster 21</w:t>
      </w:r>
      <w:r>
        <w:rPr>
          <w:b w:val="0"/>
          <w:i w:val="0"/>
          <w:smallCaps w:val="0"/>
          <w:strike w:val="0"/>
          <w:u w:val="none"/>
        </w:rPr>
        <w:t xml:space="preserve">, assistant professor at the University of Georgia Terry College of Business with a courtesy appointment at the University of Georgia School of Law, Miriam </w:t>
      </w:r>
      <w:r>
        <w:rPr>
          <w:b w:val="0"/>
          <w:i w:val="0"/>
          <w:smallCaps w:val="0"/>
          <w:strike w:val="0"/>
          <w:u w:val="none"/>
        </w:rPr>
        <w:t>Marcowitz</w:t>
      </w:r>
      <w:r>
        <w:rPr>
          <w:b w:val="0"/>
          <w:i w:val="0"/>
          <w:smallCaps w:val="0"/>
          <w:strike w:val="0"/>
          <w:u w:val="none"/>
        </w:rPr>
        <w:t xml:space="preserve">-Bitton, Professor of Law at Bar-Ilan University, Deborah R. Gerhardt, University of North Carolina School of Law, 2021, “An Empirical Study of Gender and Race in Trademark Prosecution,” </w:t>
      </w:r>
      <w:r>
        <w:rPr>
          <w:b w:val="0"/>
          <w:i/>
          <w:smallCaps w:val="0"/>
          <w:strike w:val="0"/>
          <w:u w:val="none"/>
        </w:rPr>
        <w:t>University of North Carolina School of Law</w:t>
      </w:r>
      <w:r>
        <w:rPr>
          <w:b w:val="0"/>
          <w:i w:val="0"/>
          <w:smallCaps w:val="0"/>
          <w:strike w:val="0"/>
          <w:u w:val="none"/>
        </w:rPr>
        <w:t xml:space="preserve">, (94) pp. </w:t>
      </w:r>
      <w:r>
        <w:rPr>
          <w:b w:val="0"/>
          <w:i w:val="0"/>
          <w:smallCaps w:val="0"/>
          <w:strike w:val="0"/>
          <w:u w:val="none"/>
        </w:rPr>
        <w:t xml:space="preserve">#-#, https://scholarship.law.unc.edu/cgi/viewcontent.cgi?article=1564&amp;context=faculty_publications, eb </w:t>
      </w:r>
    </w:p>
    <w:p>
      <w:pPr>
        <w:spacing w:after="60"/>
      </w:pPr>
      <w:r>
        <w:rPr>
          <w:b w:val="0"/>
          <w:i w:val="0"/>
          <w:smallCaps w:val="0"/>
          <w:strike w:val="0"/>
          <w:sz w:val="16"/>
          <w:u w:val="none"/>
        </w:rPr>
        <w:t>With regard to</w:t>
      </w:r>
      <w:r>
        <w:rPr>
          <w:b w:val="0"/>
          <w:i w:val="0"/>
          <w:smallCaps w:val="0"/>
          <w:strike w:val="0"/>
          <w:sz w:val="16"/>
          <w:u w:val="none"/>
        </w:rPr>
        <w:t xml:space="preserve"> gender, Brauneis and Oliar found that </w:t>
      </w:r>
      <w:r>
        <w:rPr>
          <w:b w:val="0"/>
          <w:i w:val="0"/>
          <w:smallCaps w:val="0"/>
          <w:strike w:val="0"/>
          <w:sz w:val="22"/>
          <w:u w:val="single"/>
        </w:rPr>
        <w:t>two-thirds of registered authors were male</w:t>
      </w:r>
      <w:r>
        <w:rPr>
          <w:b w:val="0"/>
          <w:i w:val="0"/>
          <w:smallCaps w:val="0"/>
          <w:strike w:val="0"/>
          <w:sz w:val="16"/>
          <w:u w:val="none"/>
        </w:rPr>
        <w:t xml:space="preserve"> but that this </w:t>
      </w:r>
      <w:r>
        <w:rPr>
          <w:b w:val="0"/>
          <w:i w:val="0"/>
          <w:smallCaps w:val="0"/>
          <w:strike w:val="0"/>
          <w:sz w:val="22"/>
          <w:u w:val="single"/>
        </w:rPr>
        <w:t>gender gap differs across types of works</w:t>
      </w:r>
      <w:r>
        <w:rPr>
          <w:b w:val="0"/>
          <w:i w:val="0"/>
          <w:smallCaps w:val="0"/>
          <w:strike w:val="0"/>
          <w:sz w:val="16"/>
          <w:u w:val="none"/>
        </w:rPr>
        <w:t xml:space="preserve">. 93 </w:t>
      </w:r>
      <w:r>
        <w:rPr>
          <w:b w:val="0"/>
          <w:i w:val="0"/>
          <w:smallCaps w:val="0"/>
          <w:strike w:val="0"/>
          <w:sz w:val="22"/>
          <w:u w:val="single"/>
        </w:rPr>
        <w:t>Female authors</w:t>
      </w:r>
      <w:r>
        <w:rPr>
          <w:b w:val="0"/>
          <w:i w:val="0"/>
          <w:smallCaps w:val="0"/>
          <w:strike w:val="0"/>
          <w:sz w:val="16"/>
          <w:u w:val="none"/>
        </w:rPr>
        <w:t xml:space="preserve"> also increased their representation over time.94 Still, the </w:t>
      </w:r>
      <w:r>
        <w:rPr>
          <w:b/>
          <w:i w:val="0"/>
          <w:smallCaps w:val="0"/>
          <w:strike w:val="0"/>
          <w:sz w:val="22"/>
          <w:highlight w:val="cyan"/>
          <w:u w:val="single"/>
        </w:rPr>
        <w:t>proportion</w:t>
      </w:r>
      <w:r>
        <w:rPr>
          <w:b w:val="0"/>
          <w:i w:val="0"/>
          <w:smallCaps w:val="0"/>
          <w:strike w:val="0"/>
          <w:sz w:val="22"/>
          <w:u w:val="single"/>
        </w:rPr>
        <w:t xml:space="preserve"> of registered </w:t>
      </w:r>
      <w:r>
        <w:rPr>
          <w:b/>
          <w:i w:val="0"/>
          <w:smallCaps w:val="0"/>
          <w:strike w:val="0"/>
          <w:sz w:val="22"/>
          <w:highlight w:val="cyan"/>
          <w:u w:val="single"/>
        </w:rPr>
        <w:t>female authors</w:t>
      </w:r>
      <w:r>
        <w:rPr>
          <w:b w:val="0"/>
          <w:i w:val="0"/>
          <w:smallCaps w:val="0"/>
          <w:strike w:val="0"/>
          <w:sz w:val="22"/>
          <w:u w:val="single"/>
        </w:rPr>
        <w:t xml:space="preserve"> remained at </w:t>
      </w:r>
      <w:r>
        <w:rPr>
          <w:b w:val="0"/>
          <w:i w:val="0"/>
          <w:smallCaps w:val="0"/>
          <w:strike w:val="0"/>
          <w:sz w:val="22"/>
          <w:highlight w:val="cyan"/>
          <w:u w:val="single"/>
        </w:rPr>
        <w:t>less</w:t>
      </w:r>
      <w:r>
        <w:rPr>
          <w:b w:val="0"/>
          <w:i w:val="0"/>
          <w:smallCaps w:val="0"/>
          <w:strike w:val="0"/>
          <w:sz w:val="22"/>
          <w:u w:val="single"/>
        </w:rPr>
        <w:t xml:space="preserve"> than the </w:t>
      </w:r>
      <w:r>
        <w:rPr>
          <w:b/>
          <w:i w:val="0"/>
          <w:smallCaps w:val="0"/>
          <w:strike w:val="0"/>
          <w:sz w:val="22"/>
          <w:highlight w:val="cyan"/>
          <w:u w:val="single"/>
        </w:rPr>
        <w:t>proportion</w:t>
      </w:r>
      <w:r>
        <w:rPr>
          <w:b w:val="0"/>
          <w:i w:val="0"/>
          <w:smallCaps w:val="0"/>
          <w:strike w:val="0"/>
          <w:sz w:val="22"/>
          <w:u w:val="single"/>
        </w:rPr>
        <w:t xml:space="preserve"> of women in the </w:t>
      </w:r>
      <w:r>
        <w:rPr>
          <w:b/>
          <w:i w:val="0"/>
          <w:smallCaps w:val="0"/>
          <w:strike w:val="0"/>
          <w:sz w:val="22"/>
          <w:highlight w:val="cyan"/>
          <w:u w:val="single"/>
        </w:rPr>
        <w:t>labor force</w:t>
      </w:r>
      <w:r>
        <w:rPr>
          <w:b w:val="0"/>
          <w:i w:val="0"/>
          <w:smallCaps w:val="0"/>
          <w:strike w:val="0"/>
          <w:sz w:val="16"/>
          <w:u w:val="none"/>
        </w:rPr>
        <w:t>.95 The fields least dominated by male authors were art and text, while the fields most dominated by men were movies and software.96 The degree to which female authors were increasing in representation varied by type of work97 and was driven mainly by textual works.98</w:t>
      </w:r>
    </w:p>
    <w:p>
      <w:pPr>
        <w:spacing w:after="60"/>
      </w:pPr>
      <w:r>
        <w:rPr>
          <w:b w:val="0"/>
          <w:i w:val="0"/>
          <w:smallCaps w:val="0"/>
          <w:strike w:val="0"/>
          <w:sz w:val="16"/>
          <w:u w:val="none"/>
        </w:rPr>
        <w:t xml:space="preserve">A </w:t>
      </w:r>
      <w:r>
        <w:rPr>
          <w:b w:val="0"/>
          <w:i w:val="0"/>
          <w:smallCaps w:val="0"/>
          <w:strike w:val="0"/>
          <w:sz w:val="22"/>
          <w:u w:val="single"/>
        </w:rPr>
        <w:t>number of</w:t>
      </w:r>
      <w:r>
        <w:rPr>
          <w:b w:val="0"/>
          <w:i w:val="0"/>
          <w:smallCaps w:val="0"/>
          <w:strike w:val="0"/>
          <w:sz w:val="22"/>
          <w:u w:val="single"/>
        </w:rPr>
        <w:t xml:space="preserve"> scholars </w:t>
      </w:r>
      <w:r>
        <w:rPr>
          <w:b w:val="0"/>
          <w:i w:val="0"/>
          <w:smallCaps w:val="0"/>
          <w:strike w:val="0"/>
          <w:sz w:val="22"/>
          <w:highlight w:val="cyan"/>
          <w:u w:val="single"/>
        </w:rPr>
        <w:t>analyze</w:t>
      </w:r>
      <w:r>
        <w:rPr>
          <w:b w:val="0"/>
          <w:i w:val="0"/>
          <w:smallCaps w:val="0"/>
          <w:strike w:val="0"/>
          <w:sz w:val="22"/>
          <w:u w:val="single"/>
        </w:rPr>
        <w:t xml:space="preserve"> the </w:t>
      </w:r>
      <w:r>
        <w:rPr>
          <w:b w:val="0"/>
          <w:i w:val="0"/>
          <w:smallCaps w:val="0"/>
          <w:strike w:val="0"/>
          <w:sz w:val="22"/>
          <w:highlight w:val="cyan"/>
          <w:u w:val="single"/>
        </w:rPr>
        <w:t>intersection</w:t>
      </w:r>
      <w:r>
        <w:rPr>
          <w:b w:val="0"/>
          <w:i w:val="0"/>
          <w:smallCaps w:val="0"/>
          <w:strike w:val="0"/>
          <w:sz w:val="22"/>
          <w:u w:val="single"/>
        </w:rPr>
        <w:t xml:space="preserve"> of </w:t>
      </w:r>
      <w:r>
        <w:rPr>
          <w:b w:val="0"/>
          <w:i w:val="0"/>
          <w:smallCaps w:val="0"/>
          <w:strike w:val="0"/>
          <w:sz w:val="22"/>
          <w:highlight w:val="cyan"/>
          <w:u w:val="single"/>
        </w:rPr>
        <w:t>copyright law</w:t>
      </w:r>
      <w:r>
        <w:rPr>
          <w:b w:val="0"/>
          <w:i w:val="0"/>
          <w:smallCaps w:val="0"/>
          <w:strike w:val="0"/>
          <w:sz w:val="22"/>
          <w:u w:val="single"/>
        </w:rPr>
        <w:t xml:space="preserve"> and </w:t>
      </w:r>
      <w:r>
        <w:rPr>
          <w:b w:val="0"/>
          <w:i w:val="0"/>
          <w:smallCaps w:val="0"/>
          <w:strike w:val="0"/>
          <w:sz w:val="22"/>
          <w:highlight w:val="cyan"/>
          <w:u w:val="single"/>
        </w:rPr>
        <w:t>gender</w:t>
      </w:r>
      <w:r>
        <w:rPr>
          <w:b w:val="0"/>
          <w:i w:val="0"/>
          <w:smallCaps w:val="0"/>
          <w:strike w:val="0"/>
          <w:sz w:val="22"/>
          <w:u w:val="single"/>
        </w:rPr>
        <w:t xml:space="preserve"> from a </w:t>
      </w:r>
      <w:r>
        <w:rPr>
          <w:b/>
          <w:i w:val="0"/>
          <w:smallCaps w:val="0"/>
          <w:strike w:val="0"/>
          <w:sz w:val="22"/>
          <w:highlight w:val="cyan"/>
          <w:u w:val="single"/>
        </w:rPr>
        <w:t>feminist perspective</w:t>
      </w:r>
      <w:r>
        <w:rPr>
          <w:b w:val="0"/>
          <w:i w:val="0"/>
          <w:smallCaps w:val="0"/>
          <w:strike w:val="0"/>
          <w:sz w:val="16"/>
          <w:u w:val="none"/>
        </w:rPr>
        <w:t xml:space="preserve">, and some conclude that the </w:t>
      </w:r>
      <w:r>
        <w:rPr>
          <w:b w:val="0"/>
          <w:i w:val="0"/>
          <w:smallCaps w:val="0"/>
          <w:strike w:val="0"/>
          <w:sz w:val="22"/>
          <w:highlight w:val="cyan"/>
          <w:u w:val="single"/>
        </w:rPr>
        <w:t xml:space="preserve">doctrines </w:t>
      </w:r>
      <w:r>
        <w:rPr>
          <w:b w:val="0"/>
          <w:i w:val="0"/>
          <w:smallCaps w:val="0"/>
          <w:strike w:val="0"/>
          <w:sz w:val="22"/>
          <w:u w:val="single"/>
        </w:rPr>
        <w:t xml:space="preserve">and the </w:t>
      </w:r>
      <w:r>
        <w:rPr>
          <w:b w:val="0"/>
          <w:i w:val="0"/>
          <w:smallCaps w:val="0"/>
          <w:strike w:val="0"/>
          <w:sz w:val="22"/>
          <w:highlight w:val="cyan"/>
          <w:u w:val="single"/>
        </w:rPr>
        <w:t>institutions</w:t>
      </w:r>
      <w:r>
        <w:rPr>
          <w:b w:val="0"/>
          <w:i w:val="0"/>
          <w:smallCaps w:val="0"/>
          <w:strike w:val="0"/>
          <w:sz w:val="22"/>
          <w:u w:val="single"/>
        </w:rPr>
        <w:t xml:space="preserve"> that apply it have done so in a way that </w:t>
      </w:r>
      <w:r>
        <w:rPr>
          <w:b w:val="0"/>
          <w:i w:val="0"/>
          <w:smallCaps w:val="0"/>
          <w:strike w:val="0"/>
          <w:sz w:val="22"/>
          <w:highlight w:val="cyan"/>
          <w:u w:val="single"/>
        </w:rPr>
        <w:t xml:space="preserve">undermines </w:t>
      </w:r>
      <w:r>
        <w:rPr>
          <w:b/>
          <w:i w:val="0"/>
          <w:smallCaps w:val="0"/>
          <w:strike w:val="0"/>
          <w:sz w:val="22"/>
          <w:highlight w:val="cyan"/>
          <w:u w:val="single"/>
        </w:rPr>
        <w:t>women’s creativity</w:t>
      </w:r>
      <w:r>
        <w:rPr>
          <w:b w:val="0"/>
          <w:i w:val="0"/>
          <w:smallCaps w:val="0"/>
          <w:strike w:val="0"/>
          <w:sz w:val="22"/>
          <w:u w:val="single"/>
        </w:rPr>
        <w:t xml:space="preserve">. Professor Shelley Wright </w:t>
      </w:r>
      <w:r>
        <w:rPr>
          <w:b/>
          <w:i w:val="0"/>
          <w:smallCaps w:val="0"/>
          <w:strike w:val="0"/>
          <w:sz w:val="22"/>
          <w:u w:val="single"/>
        </w:rPr>
        <w:t>conducted</w:t>
      </w:r>
      <w:r>
        <w:rPr>
          <w:b w:val="0"/>
          <w:i w:val="0"/>
          <w:smallCaps w:val="0"/>
          <w:strike w:val="0"/>
          <w:sz w:val="22"/>
          <w:u w:val="single"/>
        </w:rPr>
        <w:t xml:space="preserve"> an early </w:t>
      </w:r>
      <w:r>
        <w:rPr>
          <w:b/>
          <w:i w:val="0"/>
          <w:smallCaps w:val="0"/>
          <w:strike w:val="0"/>
          <w:sz w:val="22"/>
          <w:u w:val="single"/>
        </w:rPr>
        <w:t>feminist analysis</w:t>
      </w:r>
      <w:r>
        <w:rPr>
          <w:b w:val="0"/>
          <w:i w:val="0"/>
          <w:smallCaps w:val="0"/>
          <w:strike w:val="0"/>
          <w:sz w:val="22"/>
          <w:u w:val="single"/>
        </w:rPr>
        <w:t xml:space="preserve"> of </w:t>
      </w:r>
      <w:r>
        <w:rPr>
          <w:b/>
          <w:i w:val="0"/>
          <w:smallCaps w:val="0"/>
          <w:strike w:val="0"/>
          <w:sz w:val="22"/>
          <w:u w:val="single"/>
        </w:rPr>
        <w:t>copyright law</w:t>
      </w:r>
      <w:r>
        <w:rPr>
          <w:b w:val="0"/>
          <w:i w:val="0"/>
          <w:smallCaps w:val="0"/>
          <w:strike w:val="0"/>
          <w:sz w:val="16"/>
          <w:u w:val="none"/>
        </w:rPr>
        <w:t xml:space="preserve">, focusing on two genres that were denigrated despite—or perhaps because of—significant contributions from women: the English novel and needlework.99 She concludes that creative women have been marginalized by ideologies surrounding the artistic process such that </w:t>
      </w:r>
      <w:r>
        <w:rPr>
          <w:b/>
          <w:i w:val="0"/>
          <w:smallCaps w:val="0"/>
          <w:strike w:val="0"/>
          <w:sz w:val="22"/>
          <w:highlight w:val="cyan"/>
          <w:u w:val="single"/>
        </w:rPr>
        <w:t>women</w:t>
      </w:r>
      <w:r>
        <w:rPr>
          <w:b w:val="0"/>
          <w:i w:val="0"/>
          <w:smallCaps w:val="0"/>
          <w:strike w:val="0"/>
          <w:sz w:val="16"/>
          <w:u w:val="none"/>
        </w:rPr>
        <w:t xml:space="preserve"> </w:t>
      </w:r>
      <w:r>
        <w:rPr>
          <w:b w:val="0"/>
          <w:i w:val="0"/>
          <w:smallCaps w:val="0"/>
          <w:strike w:val="0"/>
          <w:sz w:val="22"/>
          <w:u w:val="single"/>
        </w:rPr>
        <w:t xml:space="preserve">authors and artists are </w:t>
      </w:r>
      <w:r>
        <w:rPr>
          <w:b w:val="0"/>
          <w:i w:val="0"/>
          <w:smallCaps w:val="0"/>
          <w:strike w:val="0"/>
          <w:sz w:val="22"/>
          <w:highlight w:val="cyan"/>
          <w:u w:val="single"/>
        </w:rPr>
        <w:t>not recognized</w:t>
      </w:r>
      <w:r>
        <w:rPr>
          <w:b w:val="0"/>
          <w:i w:val="0"/>
          <w:smallCaps w:val="0"/>
          <w:strike w:val="0"/>
          <w:sz w:val="22"/>
          <w:u w:val="single"/>
        </w:rPr>
        <w:t xml:space="preserve"> as creators of “art” but rather of “crafts” and “domestic arts” below the minimum </w:t>
      </w:r>
      <w:r>
        <w:rPr>
          <w:b w:val="0"/>
          <w:i w:val="0"/>
          <w:smallCaps w:val="0"/>
          <w:strike w:val="0"/>
          <w:sz w:val="22"/>
          <w:highlight w:val="cyan"/>
          <w:u w:val="single"/>
        </w:rPr>
        <w:t>threshold</w:t>
      </w:r>
      <w:r>
        <w:rPr>
          <w:b w:val="0"/>
          <w:i w:val="0"/>
          <w:smallCaps w:val="0"/>
          <w:strike w:val="0"/>
          <w:sz w:val="22"/>
          <w:u w:val="single"/>
        </w:rPr>
        <w:t xml:space="preserve"> for </w:t>
      </w:r>
      <w:r>
        <w:rPr>
          <w:b w:val="0"/>
          <w:i w:val="0"/>
          <w:smallCaps w:val="0"/>
          <w:strike w:val="0"/>
          <w:sz w:val="22"/>
          <w:highlight w:val="cyan"/>
          <w:u w:val="single"/>
        </w:rPr>
        <w:t>legal protection</w:t>
      </w:r>
      <w:r>
        <w:rPr>
          <w:b w:val="0"/>
          <w:i w:val="0"/>
          <w:smallCaps w:val="0"/>
          <w:strike w:val="0"/>
          <w:sz w:val="16"/>
          <w:u w:val="none"/>
        </w:rPr>
        <w:t xml:space="preserve">.100 Copyright </w:t>
      </w:r>
      <w:r>
        <w:rPr>
          <w:b w:val="0"/>
          <w:i w:val="0"/>
          <w:smallCaps w:val="0"/>
          <w:strike w:val="0"/>
          <w:sz w:val="22"/>
          <w:highlight w:val="cyan"/>
          <w:u w:val="single"/>
        </w:rPr>
        <w:t xml:space="preserve">law’s </w:t>
      </w:r>
      <w:r>
        <w:rPr>
          <w:b/>
          <w:i w:val="0"/>
          <w:smallCaps w:val="0"/>
          <w:strike w:val="0"/>
          <w:sz w:val="22"/>
          <w:highlight w:val="cyan"/>
          <w:u w:val="single"/>
        </w:rPr>
        <w:t>economic</w:t>
      </w:r>
      <w:r>
        <w:rPr>
          <w:b w:val="0"/>
          <w:i w:val="0"/>
          <w:smallCaps w:val="0"/>
          <w:strike w:val="0"/>
          <w:sz w:val="22"/>
          <w:highlight w:val="cyan"/>
          <w:u w:val="single"/>
        </w:rPr>
        <w:t xml:space="preserve"> and </w:t>
      </w:r>
      <w:r>
        <w:rPr>
          <w:b/>
          <w:i w:val="0"/>
          <w:smallCaps w:val="0"/>
          <w:strike w:val="0"/>
          <w:sz w:val="22"/>
          <w:highlight w:val="cyan"/>
          <w:u w:val="single"/>
        </w:rPr>
        <w:t>moral rights</w:t>
      </w:r>
      <w:r>
        <w:rPr>
          <w:b w:val="0"/>
          <w:i w:val="0"/>
          <w:smallCaps w:val="0"/>
          <w:strike w:val="0"/>
          <w:sz w:val="22"/>
          <w:u w:val="single"/>
        </w:rPr>
        <w:t xml:space="preserve">, by contrast, are </w:t>
      </w:r>
      <w:r>
        <w:rPr>
          <w:b w:val="0"/>
          <w:i w:val="0"/>
          <w:smallCaps w:val="0"/>
          <w:strike w:val="0"/>
          <w:sz w:val="22"/>
          <w:highlight w:val="cyan"/>
          <w:u w:val="single"/>
        </w:rPr>
        <w:t xml:space="preserve">more </w:t>
      </w:r>
      <w:r>
        <w:rPr>
          <w:b/>
          <w:i w:val="0"/>
          <w:smallCaps w:val="0"/>
          <w:strike w:val="0"/>
          <w:sz w:val="22"/>
          <w:highlight w:val="cyan"/>
          <w:u w:val="single"/>
        </w:rPr>
        <w:t>individualistic</w:t>
      </w:r>
      <w:r>
        <w:rPr>
          <w:b w:val="0"/>
          <w:i w:val="0"/>
          <w:smallCaps w:val="0"/>
          <w:strike w:val="0"/>
          <w:sz w:val="22"/>
          <w:highlight w:val="cyan"/>
          <w:u w:val="single"/>
        </w:rPr>
        <w:t xml:space="preserve"> and </w:t>
      </w:r>
      <w:r>
        <w:rPr>
          <w:b/>
          <w:i w:val="0"/>
          <w:smallCaps w:val="0"/>
          <w:strike w:val="0"/>
          <w:sz w:val="22"/>
          <w:highlight w:val="cyan"/>
          <w:u w:val="single"/>
        </w:rPr>
        <w:t>patriarchal</w:t>
      </w:r>
      <w:r>
        <w:rPr>
          <w:b w:val="0"/>
          <w:i w:val="0"/>
          <w:smallCaps w:val="0"/>
          <w:strike w:val="0"/>
          <w:sz w:val="22"/>
          <w:u w:val="single"/>
        </w:rPr>
        <w:t xml:space="preserve">, such that </w:t>
      </w:r>
      <w:r>
        <w:rPr>
          <w:b w:val="0"/>
          <w:i w:val="0"/>
          <w:smallCaps w:val="0"/>
          <w:strike w:val="0"/>
          <w:sz w:val="22"/>
          <w:highlight w:val="cyan"/>
          <w:u w:val="single"/>
        </w:rPr>
        <w:t>protected categories</w:t>
      </w:r>
      <w:r>
        <w:rPr>
          <w:b w:val="0"/>
          <w:i w:val="0"/>
          <w:smallCaps w:val="0"/>
          <w:strike w:val="0"/>
          <w:sz w:val="22"/>
          <w:u w:val="single"/>
        </w:rPr>
        <w:t xml:space="preserve"> of art become “</w:t>
      </w:r>
      <w:r>
        <w:rPr>
          <w:b/>
          <w:i w:val="0"/>
          <w:smallCaps w:val="0"/>
          <w:strike w:val="0"/>
          <w:sz w:val="22"/>
          <w:highlight w:val="cyan"/>
          <w:u w:val="single"/>
        </w:rPr>
        <w:t>masculinized</w:t>
      </w:r>
      <w:r>
        <w:rPr>
          <w:b w:val="0"/>
          <w:i w:val="0"/>
          <w:smallCaps w:val="0"/>
          <w:strike w:val="0"/>
          <w:sz w:val="22"/>
          <w:u w:val="single"/>
        </w:rPr>
        <w:t>.”101</w:t>
      </w:r>
    </w:p>
    <w:p>
      <w:pPr>
        <w:spacing w:after="60"/>
      </w:pPr>
      <w:r>
        <w:rPr>
          <w:b w:val="0"/>
          <w:i w:val="0"/>
          <w:smallCaps w:val="0"/>
          <w:strike w:val="0"/>
          <w:sz w:val="16"/>
          <w:u w:val="none"/>
        </w:rPr>
        <w:t xml:space="preserve">Other </w:t>
      </w:r>
      <w:r>
        <w:rPr>
          <w:b w:val="0"/>
          <w:i w:val="0"/>
          <w:smallCaps w:val="0"/>
          <w:strike w:val="0"/>
          <w:sz w:val="22"/>
          <w:u w:val="single"/>
        </w:rPr>
        <w:t xml:space="preserve">legal scholars suggest that </w:t>
      </w:r>
      <w:r>
        <w:rPr>
          <w:b/>
          <w:i w:val="0"/>
          <w:smallCaps w:val="0"/>
          <w:strike w:val="0"/>
          <w:sz w:val="22"/>
          <w:highlight w:val="cyan"/>
          <w:u w:val="single"/>
        </w:rPr>
        <w:t>copyright</w:t>
      </w:r>
      <w:r>
        <w:rPr>
          <w:b w:val="0"/>
          <w:i w:val="0"/>
          <w:smallCaps w:val="0"/>
          <w:strike w:val="0"/>
          <w:sz w:val="22"/>
          <w:u w:val="single"/>
        </w:rPr>
        <w:t xml:space="preserve"> tends to </w:t>
      </w:r>
      <w:r>
        <w:rPr>
          <w:b/>
          <w:i w:val="0"/>
          <w:smallCaps w:val="0"/>
          <w:strike w:val="0"/>
          <w:sz w:val="22"/>
          <w:highlight w:val="cyan"/>
          <w:u w:val="single"/>
        </w:rPr>
        <w:t>exclude</w:t>
      </w:r>
      <w:r>
        <w:rPr>
          <w:b w:val="0"/>
          <w:i w:val="0"/>
          <w:smallCaps w:val="0"/>
          <w:strike w:val="0"/>
          <w:sz w:val="22"/>
          <w:highlight w:val="cyan"/>
          <w:u w:val="single"/>
        </w:rPr>
        <w:t xml:space="preserve"> female forms</w:t>
      </w:r>
      <w:r>
        <w:rPr>
          <w:b w:val="0"/>
          <w:i w:val="0"/>
          <w:smallCaps w:val="0"/>
          <w:strike w:val="0"/>
          <w:sz w:val="22"/>
          <w:u w:val="single"/>
        </w:rPr>
        <w:t xml:space="preserve"> of </w:t>
      </w:r>
      <w:r>
        <w:rPr>
          <w:b/>
          <w:i w:val="0"/>
          <w:smallCaps w:val="0"/>
          <w:strike w:val="0"/>
          <w:sz w:val="22"/>
          <w:u w:val="single"/>
        </w:rPr>
        <w:t>creativity</w:t>
      </w:r>
      <w:r>
        <w:rPr>
          <w:b w:val="0"/>
          <w:i w:val="0"/>
          <w:smallCaps w:val="0"/>
          <w:strike w:val="0"/>
          <w:sz w:val="22"/>
          <w:u w:val="single"/>
        </w:rPr>
        <w:t xml:space="preserve"> and </w:t>
      </w:r>
      <w:r>
        <w:rPr>
          <w:b/>
          <w:i w:val="0"/>
          <w:smallCaps w:val="0"/>
          <w:strike w:val="0"/>
          <w:sz w:val="22"/>
          <w:u w:val="single"/>
        </w:rPr>
        <w:t>knowledge</w:t>
      </w:r>
      <w:r>
        <w:rPr>
          <w:b w:val="0"/>
          <w:i w:val="0"/>
          <w:smallCaps w:val="0"/>
          <w:strike w:val="0"/>
          <w:sz w:val="16"/>
          <w:u w:val="none"/>
        </w:rPr>
        <w:t xml:space="preserve">.102 Copyright laws thus have an </w:t>
      </w:r>
      <w:r>
        <w:rPr>
          <w:b w:val="0"/>
          <w:i w:val="0"/>
          <w:smallCaps w:val="0"/>
          <w:strike w:val="0"/>
          <w:sz w:val="22"/>
          <w:u w:val="single"/>
        </w:rPr>
        <w:t xml:space="preserve">impact upon whether </w:t>
      </w:r>
      <w:r>
        <w:rPr>
          <w:b/>
          <w:i w:val="0"/>
          <w:smallCaps w:val="0"/>
          <w:strike w:val="0"/>
          <w:sz w:val="22"/>
          <w:u w:val="single"/>
        </w:rPr>
        <w:t>women</w:t>
      </w:r>
      <w:r>
        <w:rPr>
          <w:b w:val="0"/>
          <w:i w:val="0"/>
          <w:smallCaps w:val="0"/>
          <w:strike w:val="0"/>
          <w:sz w:val="22"/>
          <w:u w:val="single"/>
        </w:rPr>
        <w:t xml:space="preserve"> are treated </w:t>
      </w:r>
      <w:r>
        <w:rPr>
          <w:b/>
          <w:i w:val="0"/>
          <w:smallCaps w:val="0"/>
          <w:strike w:val="0"/>
          <w:sz w:val="22"/>
          <w:u w:val="single"/>
        </w:rPr>
        <w:t>equally</w:t>
      </w:r>
      <w:r>
        <w:rPr>
          <w:b w:val="0"/>
          <w:i w:val="0"/>
          <w:smallCaps w:val="0"/>
          <w:strike w:val="0"/>
          <w:sz w:val="22"/>
          <w:u w:val="single"/>
        </w:rPr>
        <w:t xml:space="preserve"> to men in </w:t>
      </w:r>
      <w:r>
        <w:rPr>
          <w:b/>
          <w:i w:val="0"/>
          <w:smallCaps w:val="0"/>
          <w:strike w:val="0"/>
          <w:sz w:val="22"/>
          <w:u w:val="single"/>
        </w:rPr>
        <w:t>copyright-related contexts</w:t>
      </w:r>
      <w:r>
        <w:rPr>
          <w:b w:val="0"/>
          <w:i w:val="0"/>
          <w:smallCaps w:val="0"/>
          <w:strike w:val="0"/>
          <w:sz w:val="16"/>
          <w:u w:val="none"/>
        </w:rPr>
        <w:t xml:space="preserve">.103 </w:t>
      </w:r>
      <w:r>
        <w:rPr>
          <w:b w:val="0"/>
          <w:i w:val="0"/>
          <w:smallCaps w:val="0"/>
          <w:strike w:val="0"/>
          <w:sz w:val="22"/>
          <w:highlight w:val="cyan"/>
          <w:u w:val="single"/>
        </w:rPr>
        <w:t>Copyright doctrine’s focus</w:t>
      </w:r>
      <w:r>
        <w:rPr>
          <w:b w:val="0"/>
          <w:i w:val="0"/>
          <w:smallCaps w:val="0"/>
          <w:strike w:val="0"/>
          <w:sz w:val="22"/>
          <w:u w:val="single"/>
        </w:rPr>
        <w:t xml:space="preserve"> on </w:t>
      </w:r>
      <w:r>
        <w:rPr>
          <w:b w:val="0"/>
          <w:i w:val="0"/>
          <w:smallCaps w:val="0"/>
          <w:strike w:val="0"/>
          <w:sz w:val="22"/>
          <w:highlight w:val="cyan"/>
          <w:u w:val="single"/>
        </w:rPr>
        <w:t>individual author control over works</w:t>
      </w:r>
      <w:r>
        <w:rPr>
          <w:b w:val="0"/>
          <w:i w:val="0"/>
          <w:smallCaps w:val="0"/>
          <w:strike w:val="0"/>
          <w:sz w:val="22"/>
          <w:u w:val="single"/>
        </w:rPr>
        <w:t xml:space="preserve"> may also </w:t>
      </w:r>
      <w:r>
        <w:rPr>
          <w:b w:val="0"/>
          <w:i w:val="0"/>
          <w:smallCaps w:val="0"/>
          <w:strike w:val="0"/>
          <w:sz w:val="22"/>
          <w:highlight w:val="cyan"/>
          <w:u w:val="single"/>
        </w:rPr>
        <w:t>interfere</w:t>
      </w:r>
      <w:r>
        <w:rPr>
          <w:b w:val="0"/>
          <w:i w:val="0"/>
          <w:smallCaps w:val="0"/>
          <w:strike w:val="0"/>
          <w:sz w:val="22"/>
          <w:u w:val="single"/>
        </w:rPr>
        <w:t xml:space="preserve"> with </w:t>
      </w:r>
      <w:r>
        <w:rPr>
          <w:b w:val="0"/>
          <w:i w:val="0"/>
          <w:smallCaps w:val="0"/>
          <w:strike w:val="0"/>
          <w:sz w:val="22"/>
          <w:highlight w:val="cyan"/>
          <w:u w:val="single"/>
        </w:rPr>
        <w:t>feminist</w:t>
      </w:r>
      <w:r>
        <w:rPr>
          <w:b w:val="0"/>
          <w:i w:val="0"/>
          <w:smallCaps w:val="0"/>
          <w:strike w:val="0"/>
          <w:sz w:val="22"/>
          <w:u w:val="single"/>
        </w:rPr>
        <w:t xml:space="preserve"> use of </w:t>
      </w:r>
      <w:r>
        <w:rPr>
          <w:b/>
          <w:i w:val="0"/>
          <w:smallCaps w:val="0"/>
          <w:strike w:val="0"/>
          <w:sz w:val="22"/>
          <w:highlight w:val="cyan"/>
          <w:u w:val="single"/>
        </w:rPr>
        <w:t>collaborative authorship</w:t>
      </w:r>
      <w:r>
        <w:rPr>
          <w:b w:val="0"/>
          <w:i w:val="0"/>
          <w:smallCaps w:val="0"/>
          <w:strike w:val="0"/>
          <w:sz w:val="22"/>
          <w:u w:val="single"/>
        </w:rPr>
        <w:t xml:space="preserve"> or </w:t>
      </w:r>
      <w:r>
        <w:rPr>
          <w:b w:val="0"/>
          <w:i w:val="0"/>
          <w:smallCaps w:val="0"/>
          <w:strike w:val="0"/>
          <w:sz w:val="22"/>
          <w:highlight w:val="cyan"/>
          <w:u w:val="single"/>
        </w:rPr>
        <w:t>relational structures</w:t>
      </w:r>
      <w:r>
        <w:rPr>
          <w:b w:val="0"/>
          <w:i w:val="0"/>
          <w:smallCaps w:val="0"/>
          <w:strike w:val="0"/>
          <w:sz w:val="16"/>
          <w:u w:val="none"/>
        </w:rPr>
        <w:t xml:space="preserve">104 rather than </w:t>
      </w:r>
      <w:r>
        <w:rPr>
          <w:b w:val="0"/>
          <w:i w:val="0"/>
          <w:smallCaps w:val="0"/>
          <w:strike w:val="0"/>
          <w:sz w:val="22"/>
          <w:u w:val="single"/>
        </w:rPr>
        <w:t xml:space="preserve">ensuring </w:t>
      </w:r>
      <w:r>
        <w:rPr>
          <w:b/>
          <w:i w:val="0"/>
          <w:smallCaps w:val="0"/>
          <w:strike w:val="0"/>
          <w:sz w:val="22"/>
          <w:u w:val="single"/>
        </w:rPr>
        <w:t>dynamic audience participation</w:t>
      </w:r>
      <w:r>
        <w:rPr>
          <w:b w:val="0"/>
          <w:i w:val="0"/>
          <w:smallCaps w:val="0"/>
          <w:strike w:val="0"/>
          <w:sz w:val="16"/>
          <w:u w:val="none"/>
        </w:rPr>
        <w:t xml:space="preserve"> in the creative process.105 Similarly, copyright law provides lesser protections for derivative works, such as fan fiction and art, that are often produced by and for women.106</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