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Copyright necessitates aesthetic assessment, perpetuating underlying masculinist ideologies biases and a gendered vision of creative worth – recognizing these inevitable biases is the ONLY way to diversify artistic expression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Ragavan ‘15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(Srividhya, Author and professor of Law at the University of Oklahoma, College of Law with a focus on intellectual property, trade, and development, “Diversity in intellectual property : identities, interests, and intersections / edited by Irene </w:t>
      </w:r>
      <w:r>
        <w:rPr>
          <w:b w:val="0"/>
          <w:i w:val="0"/>
          <w:smallCaps w:val="0"/>
          <w:strike w:val="0"/>
          <w:color w:val="000000"/>
          <w:u w:val="none"/>
        </w:rPr>
        <w:t>Calboli</w:t>
      </w:r>
      <w:r>
        <w:rPr>
          <w:b w:val="0"/>
          <w:i w:val="0"/>
          <w:smallCaps w:val="0"/>
          <w:strike w:val="0"/>
          <w:color w:val="000000"/>
          <w:u w:val="none"/>
        </w:rPr>
        <w:t>, Marquette University Law School and Faculty of Law, National University of Singapore, Srividhya Ragavan, University of Oklahoma College of Law”, Cambridge University Press, October 5th 2015,https://web-p-ebscohost-com.proxy.lib.umich.edu/ehost/ebookviewer/ebook?sid=8f1915dc-52f5-4bd9-a37e-83ac3a3c7bbf%40redis&amp;vid=0&amp;format=EB//</w:t>
      </w:r>
      <w:r>
        <w:rPr>
          <w:b w:val="0"/>
          <w:i w:val="0"/>
          <w:smallCaps w:val="0"/>
          <w:strike w:val="0"/>
          <w:color w:val="000000"/>
          <w:sz w:val="23"/>
          <w:u w:val="none"/>
        </w:rPr>
        <w:t>ACM!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Copyright protects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only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original works of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artistic, literary, dramatic, or musical nature.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By requiring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such classification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the law would seem to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demand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at least some basic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explanation of what is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meant by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“art,” what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sounds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constitute “music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,”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what symbols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when strung together, might be said to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amount to “literary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” expression. And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yet,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copyright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juris- prudence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is replete with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insist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ence that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no such assessment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of the substance of a work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is required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–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 determination of whether some- thing is an “artistic work,” we are frequently assured, has nothing to do with the qualitative evaluation of whether something is good art, bad art, or even a “work of art.”1 As Alfred Yen put it</w:t>
      </w:r>
      <w:r>
        <w:rPr>
          <w:b w:val="0"/>
          <w:i w:val="0"/>
          <w:smallCaps w:val="0"/>
          <w:strike w:val="0"/>
          <w:color w:val="000000"/>
          <w:u w:val="none"/>
        </w:rPr>
        <w:t>, “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the general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irrelevance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1 See, e.g., George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Ltd. v.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Restawhile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Upholstery Ltd. [1976] A.C. 64 (H.L.) 78–9 (U.K.) (Lord Reid stating that “it may be misleading to equate artistic craftsmanship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EBSCOhost - printed on 7/20/2024 3:38 PM via UNIVERSITY OF MICHIGAN. All use subject to https://www.ebsco.com/terms-of-use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Feminist Aesthetics and Copyright Law 275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of aesthetics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has become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cornerstone of copyright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jurisprudence.”2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In Bleistein v. Donaldson Lithographing Co., for example, Justice Holmes famously warned,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“[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I]t would be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dangerous undertaking for persons trained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only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law to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constitute themselves final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judge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of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worth of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pictorial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illustrations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outside of the narrowest and most obvious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lim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- its.”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3 In the House of Lords judgment in George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v.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Restawhile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Justice Reid wrote of “a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trend of authority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with which I agree that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court ought not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to be called on to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make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aesthetic judgment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. Judges have to be experts in the use of the English language but they are not experts in art or aesthetics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.”4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In DRG Inc. v. Datafile Ltd., Justice Reed warned that “[r]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equiring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Courts to determine what is ‘artistic’ ... is not a happy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situa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tion,”5 and concluded that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phrase “artistic work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” is used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 copyright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legislation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merely “as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general description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of works which find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expres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sion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a visual medium.”6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Yet,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if the institution of copyright law is indeed aimed at the “progress of the arts”7 and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encourage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ment of “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works of the arts and intellect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,”8 this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refusal to give substantive legal definition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to “art” might seem strange or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troublesome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: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Can we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really make, apply, and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justify laws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that encourage the creation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of something we refuse to define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?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AlfredYen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has argued convincingly that the judicial insistence 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avoid-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explicit aesthetic judgments in copyright cases maintains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perceived distinction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between aesthetic and legal reasoning that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is entirely illusory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; it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rests 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particular understanding of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nature of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legal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reasoning as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rule-bound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exercise in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formal logic</w:t>
      </w:r>
      <w:r>
        <w:rPr>
          <w:b w:val="0"/>
          <w:i w:val="0"/>
          <w:smallCaps w:val="0"/>
          <w:strike w:val="0"/>
          <w:color w:val="000000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9 A Canadian judge expressly trying to avoid judging the artistic merit of an architectural work nicely cap-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tured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 connection: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It is gratifying to think that those who drafted this Act were content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to leave such aesthetic responsibility to the judiciary, but it is, I think,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dangerous to assume such intention</w:t>
      </w:r>
      <w:r>
        <w:rPr>
          <w:b w:val="0"/>
          <w:i w:val="0"/>
          <w:smallCaps w:val="0"/>
          <w:strike w:val="0"/>
          <w:color w:val="000000"/>
          <w:u w:val="single"/>
        </w:rPr>
        <w:t>....The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good art </w:t>
      </w:r>
      <w:r>
        <w:rPr>
          <w:b w:val="0"/>
          <w:i w:val="0"/>
          <w:smallCaps w:val="0"/>
          <w:strike w:val="0"/>
          <w:color w:val="000000"/>
          <w:u w:val="single"/>
        </w:rPr>
        <w:t>of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 today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is almost invariably the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bad art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of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tomor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- row</w:t>
      </w:r>
      <w:r>
        <w:rPr>
          <w:b w:val="0"/>
          <w:i w:val="0"/>
          <w:smallCaps w:val="0"/>
          <w:strike w:val="0"/>
          <w:color w:val="000000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for aesthetic standards and values change from generation to generation.... The legal approach is, as a rule, to elevate precedent and to view innovations somewhat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askance.The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function of the Judge has always been to weigh evidence and propound existing law. In the arts, evidence of aesthetic values is, as a rule, merely the heated opinion of prejudiced adherents.10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with a work of art. ‘Work of art’ is generally associated more with the fine arts than with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craftsmanship and may be setting too high a standard.”).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2  Alfred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C. Yen, Copyright Opinions and Aesthetic Theory, 71 S.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CaL.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L.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rEv.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247, 249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(1998).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3  Bleistein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v. Donaldson Lithographing Co. 188 U.S. 239, 251 (1903).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4  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[1976] A.C. at 78.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5  DRG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Inc. v. Datafile Ltd., [1988] 2 C.F. 243, para. 12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6  Id.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at para. 15.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7  U.S.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Const. art. 1, § 8, cl. 8.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8  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Théberge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v. Galerie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d’Art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du Petit Champlain Inc., 2002 SCC 34, at para. 30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9  Yen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supra note 2, at 249.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10  Hay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&amp; Hay Constr. v. Sloan, [1957] 27 C.P.R. 132, at para. 5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EBSCOhost - printed on 7/20/2024 3:38 PM via UNIVERSITY OF MICHIGAN. All use subject to https://www.ebsco.com/terms-of-use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276 Carys Craig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Implicit in this passage is the mistaken assumption identified by Yen: “[a]esthetic reasoning is subjective and indeterminate, while legal reasoning is objective and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rigorous.”To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contrary,Yen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argues,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“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judges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necessarily show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prefer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ence for certain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aesthetic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perspec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tives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when they decide cases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because copyright law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simply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require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aesthetic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choices.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”11 Consider the need, when establishing copyright protection,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to distinguish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between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artistic works and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mere tools or “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useful articles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”; between “works of artistic craftsmanship” and basic craftwork; and between “sculptures” and any other three-dimensional product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Courts have denied making aesthetic judgments even when determining, for example, that furniture prototypes, while pleasing to the eye, are not works of artistic craftsmanship;12 that colored rods for teaching mathematics, while “attractive,” are not artistic works;13 that color-coded filing labels, while functionally useful, are none-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theless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artistic works;14 that costume helmets, although not actually useful, are not sculptures;15 that jewelry designs, while primarily for “visual effect,” might be more appropriately protected as “industrial designs”;16 and so forth.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Such determinations are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not simply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mechanical application of legal rules or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established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precedent, but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require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privileg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ing of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one interp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retation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over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competing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alternative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interp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retation, one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prec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edent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over another.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 efforts to avoid appearing to judge artistic merit, Yen argues, courts are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actually choosing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between different aesthetic theories on a case-by-case basis: they might ask whether contemplating the work produces an aesthetic response in people17 (aesthetic formal- ism);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whether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work’s creator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intended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work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to satisfy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aesthetic interest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18 (intentionalism);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whether a work has been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recognized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 the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11  Yen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supra note 2, at 250.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12  George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Ltd. v.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Restawhile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Upholstery Ltd. [1976] A.C. 64 (H.L.) (U.K.)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13  Cuisenaire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v. South West Imps. Ltd. [1969] S.C.R. 208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14  DRG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Inc. v. Datafile Ltd., [1988] 2 C.F. 243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15  Lucasfilm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Ltd. v. Ainsworth, [2011] UKSC 39.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16  Pyrrha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Design Inc. v. 623735 Saskatchewan Ltd., 2004 FCA 423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17  See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e.g.,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, [1976] A.C. at 78 (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Lord Reid stating “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If any substantial section of the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public genuinely admires and values a thing for its appearance and gets pleasure or sat-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isfaction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whether emotional or intellectual, from looking at it, I would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accept that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is artistic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al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though many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others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may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think it meaningless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or common or vulgar.”).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18  See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e.g.,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Cuisennaire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v. South West Imps. Ltd. [1968] 1 Ex. C.R. 493 at para. 73 (Noel J. stating, “An artistic work, in my view,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must to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some degree at least, be a work that is intended to have an appeal to the aesthetic senses ... as an important or one of the important objects for which the work is brought into being.”); see also Hay &amp; Hay Constr. v. Sloan, [1957] 27 C.P.R. 132, at para. 5 (per Stewart J.: “the tribunal should not attempt to exercise a personal aesthetic judgment but to consider the intent of the creator and its result.”).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EBSCOhost - printed on 7/20/2024 3:38 PM via UNIVERSITY OF MICHIGAN. All use subject to https://www.ebsco.com/terms-of-use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Feminist Aesthetics and Copyright Law 277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art world as art19 (institutionalism). Simply put, the selection between different approaches to identifying artistic works 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in itself, 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expres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sion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of an aesthetic preference.20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My point is not to decry the presence of aesthetic judgment in legal or judicial decision-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making.The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significance of recognizing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aesthetic judgments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copyright decision-making is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to acknowledge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inevita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-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bility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aesthetic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bias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copyright jurisprudence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u w:val="none"/>
        </w:rPr>
        <w:t>ForYen</w:t>
      </w:r>
      <w:r>
        <w:rPr>
          <w:b w:val="0"/>
          <w:i w:val="0"/>
          <w:smallCaps w:val="0"/>
          <w:strike w:val="0"/>
          <w:color w:val="000000"/>
          <w:u w:val="none"/>
        </w:rPr>
        <w:t>, since “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no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aes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thetic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perspective can be neutral and all-encompassing,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21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 goal is to increase awareness, to manage aesthetic subjectivity, to constrain bias, and to encourage open-mindedness. Moreover,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by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acknowledging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that “aesthetically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subjective decision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making is the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only possible approach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copyright cases,”22 we can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appreciate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importance of identifying and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critically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evaluating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dominant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purportedly neutral aesthetic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bias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that has so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fundamentally shaped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copyright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system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 If it is impossible for legal reasoning to separate copyright from aesthetics,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question is “not whether aesthetic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should affect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copyright law,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but how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.”23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This is a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crucial question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to ask when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considering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capacity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of copyright law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either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enhance or limit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cultural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diversity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Building on Yen’s observations, John Tehranian explains that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copyright’s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aesthetic adjudications: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inextricably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affect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type of works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we, as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society, receive from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our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artists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.... Even more fundamentally, however, aesthetic judgments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can serve to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both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main-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tain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preserve existing power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structure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s.The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seemingly neutral laws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of copy- right, therefore, have the potential to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create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hierarchy of culture that serve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heg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emonic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interest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s.24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 xml:space="preserve">Copyright law does not protect everything.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In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choosing what to pro-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tect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it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favors certain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forms of artistic and intellectual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expression while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it restricts or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prohibits others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If these choices – these selective protections and prohibitions – are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influenced by an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underlying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but largely invisible aesthetic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bias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then a critical legal perspective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demand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that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we ask who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19  See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e.g.,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[1976] A.C. at 94 (per Lord Simon of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Glaisdale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: “the most cogent evidence [of whether the subject matter is a work of artistic craftsmanship] is likely to be from those who are themselves acknowledged artist-craftsmen, or from those who are concerned with the training of artist-craftsmen.”).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20  This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degree of choice implies the kind of inherent subjectivity or discretion in judicial decision making that is denied or decried by legal formalists – and has been revealed and trumpeted by critical legal scholars. See John Tehranian, Towards a Critical IP Theory: Copyright, Consecration and Control, 2012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byu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L.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rEv.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1237 (2012).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21  Yen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supra note 2, at 251.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22  Id.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at 301.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23  Id.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at 251, fn. 14.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24  Tehranian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supra note 20, at 1280.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EBSCOhost - printed on 7/20/2024 3:38 PM via UNIVERSITY OF MICHIGAN. All use subject to https://www.ebsco.com/terms-of-use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278 Carys Craig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benefit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and who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disproportionately burden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s,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what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role it plays in consolidating existing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inequalitie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s.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More particularly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from a feminist critical perspective, we might ask: Does this aesthetic bias have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masculin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ist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underpinnings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?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Amy Newmann warns that “at least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historically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aes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theticist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thinking has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been a vehicle for blatantly masculinist ideologies privileging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certain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kind of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aesthetic experience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... arising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within male corporeality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.”25 If this is so, we might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reasonably suspect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copyright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’s hidden aesthetics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maintain and perpetuate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a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gendered vision of author- ship, creativity, and aesthetic worth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. </w:t>
      </w:r>
    </w:p>
    <w:p>
      <w:pPr>
        <w:pStyle w:val="Caption"/>
      </w:pPr>
      <w:r>
        <w:t>Source: Feminism K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