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Alt empirically solves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Sarah </w:t>
      </w:r>
      <w:r>
        <w:rPr>
          <w:b/>
          <w:i w:val="0"/>
          <w:smallCaps w:val="0"/>
          <w:strike w:val="0"/>
          <w:sz w:val="26"/>
          <w:u w:val="none"/>
        </w:rPr>
        <w:t>Robbins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–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feminist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author (“Distributed Authorship: A Feminist Case-Study Framework for Studying Intellectual Property.” Distributed Authorship: College English, vol. 66, no. 2, Nov 2003, pp. 155-171.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.org/</w:t>
      </w:r>
      <w:r>
        <w:rPr>
          <w:b w:val="0"/>
          <w:i w:val="0"/>
          <w:smallCaps w:val="0"/>
          <w:strike w:val="0"/>
          <w:color w:val="34333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343332"/>
          <w:sz w:val="20"/>
          <w:u w:val="none"/>
        </w:rPr>
        <w:t>10.2307/3594264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)//SRS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Significantly, however, this introduction also suggested a gendered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variation on that view of authorial ownership-one allowing for empathetic sharing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between the woman writer and her female reader(s). This vision of collective au-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thorship</w:t>
      </w:r>
      <w:r>
        <w:rPr>
          <w:b w:val="0"/>
          <w:i w:val="0"/>
          <w:smallCaps w:val="0"/>
          <w:strike w:val="0"/>
          <w:u w:val="single"/>
        </w:rPr>
        <w:t xml:space="preserve"> also imagined shared circulation capabilities, though not composition credit,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based on a gender-specific ability to access the text. </w:t>
      </w:r>
      <w:r>
        <w:rPr>
          <w:b w:val="0"/>
          <w:i w:val="0"/>
          <w:smallCaps w:val="0"/>
          <w:strike w:val="0"/>
          <w:sz w:val="16"/>
          <w:u w:val="none"/>
        </w:rPr>
        <w:t>Such a view of shared yet care-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fully credited textual intellectual property, then, could help refine readers' genre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expectations-whether for domestic teaching narratives or other women's books,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such as romances (see Radway). In this case, the "lady" editor linked her expansion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the text's "benefit" to a broader audience with another kind of intellectual labor-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gendered task of teaching young children to read. Implicitly, her prefatory com-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connect her audience's use of this text with their having the responsibility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home reading instruction. For this editor, then, and for her anticipated audience,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ownership of the Lessons was cast as communal, grounded in a common gender </w:t>
      </w:r>
      <w:r>
        <w:rPr>
          <w:b w:val="0"/>
          <w:i w:val="0"/>
          <w:smallCaps w:val="0"/>
          <w:strike w:val="0"/>
          <w:sz w:val="16"/>
          <w:u w:val="none"/>
        </w:rPr>
        <w:t>iden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related social role, even though credit for its efficacy was still assigned 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original author.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 affiliative stance toward shared authorship that was staked out by the 1788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"lady" editor of </w:t>
      </w:r>
      <w:r>
        <w:rPr>
          <w:b w:val="0"/>
          <w:i w:val="0"/>
          <w:smallCaps w:val="0"/>
          <w:strike w:val="0"/>
          <w:u w:val="single"/>
        </w:rPr>
        <w:t>Barbauld's</w:t>
      </w:r>
      <w:r>
        <w:rPr>
          <w:b w:val="0"/>
          <w:i w:val="0"/>
          <w:smallCaps w:val="0"/>
          <w:strike w:val="0"/>
          <w:u w:val="single"/>
        </w:rPr>
        <w:t xml:space="preserve"> text was upheld over the years by later women editors,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who also carefully credited her authorial power even when adapting her text to fit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their own Americanized needs. Editors like Sarah Hale, Mary Hughs, and Grace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Ellis, packaging </w:t>
      </w:r>
      <w:r>
        <w:rPr>
          <w:b w:val="0"/>
          <w:i w:val="0"/>
          <w:smallCaps w:val="0"/>
          <w:strike w:val="0"/>
          <w:u w:val="single"/>
        </w:rPr>
        <w:t>Barbauld's</w:t>
      </w:r>
      <w:r>
        <w:rPr>
          <w:b w:val="0"/>
          <w:i w:val="0"/>
          <w:smallCaps w:val="0"/>
          <w:strike w:val="0"/>
          <w:u w:val="single"/>
        </w:rPr>
        <w:t xml:space="preserve"> work throughout the nineteenth century, continued 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distribute </w:t>
      </w:r>
      <w:r>
        <w:rPr>
          <w:b w:val="0"/>
          <w:i w:val="0"/>
          <w:smallCaps w:val="0"/>
          <w:strike w:val="0"/>
          <w:u w:val="single"/>
        </w:rPr>
        <w:t>Barbauld's</w:t>
      </w:r>
      <w:r>
        <w:rPr>
          <w:b w:val="0"/>
          <w:i w:val="0"/>
          <w:smallCaps w:val="0"/>
          <w:strike w:val="0"/>
          <w:u w:val="single"/>
        </w:rPr>
        <w:t xml:space="preserve"> authorship in ways anticipating what Lunsford (drawing 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Esther Dyson) has described as grounded "in the relationships surrounding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nurturing the movement of content through networks of users and producers"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("Rhetoric" 534). These women editors positioned their own management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Barbauld's</w:t>
      </w:r>
      <w:r>
        <w:rPr>
          <w:b w:val="0"/>
          <w:i w:val="0"/>
          <w:smallCaps w:val="0"/>
          <w:strike w:val="0"/>
          <w:u w:val="single"/>
        </w:rPr>
        <w:t xml:space="preserve"> texts as affiliative network building but still honored her authorial power-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even, as was often said, her "genius." 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