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/>
          <w:smallCaps w:val="0"/>
          <w:strike w:val="0"/>
          <w:sz w:val="28"/>
          <w:u w:val="none"/>
        </w:rPr>
        <w:t>What are other examples of sui generis protection?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Certain parts of the semiconductor industry have been in a sui generis system since 1984 when an act called the Semiconductor Chip Protection Act was passed. It’s the best example of a US created sui generis system that has been successful.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EU protects databases through sui generis. The literature about </w:t>
      </w:r>
      <w:r>
        <w:rPr>
          <w:b w:val="0"/>
          <w:i w:val="0"/>
          <w:smallCaps w:val="0"/>
          <w:strike w:val="0"/>
          <w:sz w:val="20"/>
          <w:u w:val="none"/>
        </w:rPr>
        <w:t>whether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that has been a success is more mixed.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There are some other more obscure examples but those are the most important two to know.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