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How do I answer this counterplan on the aff?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first thing I’ll say is that YOU SHOULD LOOK AT YOUR SPECIFIC AFF FIRST AND NOT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JUST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 ANSWER SECTION OF THIS FILE. You </w:t>
      </w:r>
      <w:r>
        <w:rPr>
          <w:b w:val="0"/>
          <w:i w:val="0"/>
          <w:smallCaps w:val="0"/>
          <w:strike w:val="0"/>
          <w:sz w:val="20"/>
          <w:u w:val="none"/>
        </w:rPr>
        <w:t>definitely need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to also use the aff cards in this file, but your aff’s defense of patents/trademarks/copyright and those </w:t>
      </w:r>
      <w:r>
        <w:rPr>
          <w:b w:val="0"/>
          <w:i/>
          <w:smallCaps w:val="0"/>
          <w:strike w:val="0"/>
          <w:sz w:val="20"/>
          <w:u w:val="none"/>
        </w:rPr>
        <w:t>specific internal links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are very important. Do not autopilot and just slap a bunch of cards in the 2ac. Do the work!!!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>That being said, I’ve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included solvency deficit cards and answers to the net benefits. I personally do not think PDCP is viable (but feel free to try to prove me wrong.) I do think there could be some versions of perm do both and some type of intrinsic perm to be things, but I’ll let you figure it out beyond that hint.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