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CP solves legal certainty and perception better than the </w:t>
      </w:r>
      <w:r>
        <w:rPr>
          <w:b/>
          <w:i w:val="0"/>
          <w:smallCaps w:val="0"/>
          <w:strike w:val="0"/>
          <w:sz w:val="28"/>
          <w:u w:val="none"/>
        </w:rPr>
        <w:t>aff</w:t>
      </w:r>
      <w:r>
        <w:rPr>
          <w:b/>
          <w:i w:val="0"/>
          <w:smallCaps w:val="0"/>
          <w:strike w:val="0"/>
          <w:sz w:val="28"/>
          <w:u w:val="none"/>
        </w:rPr>
        <w:t xml:space="preserve"> </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ALB]</w:t>
      </w:r>
    </w:p>
    <w:p>
      <w:pPr>
        <w:spacing w:after="60"/>
      </w:pPr>
      <w:r>
        <w:rPr>
          <w:b w:val="0"/>
          <w:i w:val="0"/>
          <w:smallCaps w:val="0"/>
          <w:strike w:val="0"/>
          <w:sz w:val="16"/>
          <w:u w:val="none"/>
        </w:rPr>
        <w:t xml:space="preserve">However, </w:t>
      </w:r>
      <w:r>
        <w:rPr>
          <w:b/>
          <w:i w:val="0"/>
          <w:smallCaps w:val="0"/>
          <w:strike w:val="0"/>
          <w:sz w:val="28"/>
          <w:u w:val="single"/>
        </w:rPr>
        <w:t xml:space="preserve">the EU </w:t>
      </w:r>
      <w:r>
        <w:rPr>
          <w:b/>
          <w:i w:val="0"/>
          <w:smallCaps w:val="0"/>
          <w:strike w:val="0"/>
          <w:sz w:val="28"/>
          <w:highlight w:val="yellow"/>
          <w:u w:val="single"/>
        </w:rPr>
        <w:t>sui generis design regime</w:t>
      </w:r>
      <w:r>
        <w:rPr>
          <w:b/>
          <w:i w:val="0"/>
          <w:smallCaps w:val="0"/>
          <w:strike w:val="0"/>
          <w:sz w:val="28"/>
          <w:u w:val="single"/>
        </w:rPr>
        <w:t xml:space="preserve"> still </w:t>
      </w:r>
      <w:r>
        <w:rPr>
          <w:b/>
          <w:i w:val="0"/>
          <w:smallCaps w:val="0"/>
          <w:strike w:val="0"/>
          <w:sz w:val="28"/>
          <w:highlight w:val="yellow"/>
          <w:u w:val="single"/>
        </w:rPr>
        <w:t>provides</w:t>
      </w:r>
      <w:r>
        <w:rPr>
          <w:b w:val="0"/>
          <w:i w:val="0"/>
          <w:smallCaps w:val="0"/>
          <w:strike w:val="0"/>
          <w:sz w:val="16"/>
          <w:u w:val="none"/>
        </w:rPr>
        <w:t xml:space="preserve"> an</w:t>
      </w:r>
      <w:r>
        <w:rPr>
          <w:b/>
          <w:i w:val="0"/>
          <w:smallCaps w:val="0"/>
          <w:strike w:val="0"/>
          <w:sz w:val="16"/>
          <w:u w:val="single"/>
        </w:rPr>
        <w:t xml:space="preserve"> </w:t>
      </w:r>
      <w:r>
        <w:rPr>
          <w:b/>
          <w:i w:val="0"/>
          <w:smallCaps w:val="0"/>
          <w:strike w:val="0"/>
          <w:sz w:val="28"/>
          <w:u w:val="single"/>
        </w:rPr>
        <w:t>outstanding approach to design legal protection and has also helped achieve an important goal that the EU legislators were facing</w:t>
      </w:r>
      <w:r>
        <w:rPr>
          <w:b w:val="0"/>
          <w:i w:val="0"/>
          <w:smallCaps w:val="0"/>
          <w:strike w:val="0"/>
          <w:sz w:val="16"/>
          <w:u w:val="none"/>
        </w:rPr>
        <w:t xml:space="preserve">, </w:t>
      </w:r>
      <w:r>
        <w:rPr>
          <w:b/>
          <w:i w:val="0"/>
          <w:smallCaps w:val="0"/>
          <w:strike w:val="0"/>
          <w:sz w:val="28"/>
          <w:u w:val="single"/>
        </w:rPr>
        <w:t xml:space="preserve">particularly </w:t>
      </w:r>
      <w:r>
        <w:rPr>
          <w:b/>
          <w:i w:val="0"/>
          <w:smallCaps w:val="0"/>
          <w:strike w:val="0"/>
          <w:sz w:val="28"/>
          <w:highlight w:val="yellow"/>
          <w:u w:val="single"/>
        </w:rPr>
        <w:t>harmonization of</w:t>
      </w:r>
      <w:r>
        <w:rPr>
          <w:b/>
          <w:i w:val="0"/>
          <w:smallCaps w:val="0"/>
          <w:strike w:val="0"/>
          <w:sz w:val="28"/>
          <w:u w:val="single"/>
        </w:rPr>
        <w:t xml:space="preserve"> the </w:t>
      </w:r>
      <w:r>
        <w:rPr>
          <w:b/>
          <w:i w:val="0"/>
          <w:smallCaps w:val="0"/>
          <w:strike w:val="0"/>
          <w:sz w:val="28"/>
          <w:highlight w:val="yellow"/>
          <w:u w:val="single"/>
        </w:rPr>
        <w:t>national</w:t>
      </w:r>
      <w:r>
        <w:rPr>
          <w:b/>
          <w:i w:val="0"/>
          <w:smallCaps w:val="0"/>
          <w:strike w:val="0"/>
          <w:sz w:val="28"/>
          <w:u w:val="single"/>
        </w:rPr>
        <w:t xml:space="preserve"> design </w:t>
      </w:r>
      <w:r>
        <w:rPr>
          <w:b/>
          <w:i w:val="0"/>
          <w:smallCaps w:val="0"/>
          <w:strike w:val="0"/>
          <w:sz w:val="28"/>
          <w:highlight w:val="yellow"/>
          <w:u w:val="single"/>
        </w:rPr>
        <w:t>laws</w:t>
      </w:r>
      <w:r>
        <w:rPr>
          <w:b/>
          <w:i w:val="0"/>
          <w:smallCaps w:val="0"/>
          <w:strike w:val="0"/>
          <w:sz w:val="28"/>
          <w:u w:val="single"/>
        </w:rPr>
        <w:t xml:space="preserve"> and facilitating the free circulation of goods that is essential for the internal market</w:t>
      </w:r>
      <w:r>
        <w:rPr>
          <w:b w:val="0"/>
          <w:i w:val="0"/>
          <w:smallCaps w:val="0"/>
          <w:strike w:val="0"/>
          <w:sz w:val="16"/>
          <w:u w:val="none"/>
        </w:rPr>
        <w:t>. As noted by Derclaye, the EU design law is the most harmonized regional design regime in the world, which is an amazing achievement of the EU legislators given that some EU countries historically paid a lot of attention to intellectual property protection of designs (France, Italy) and some EU countries had no design laws at all (Greece).3</w:t>
      </w:r>
    </w:p>
    <w:p>
      <w:pPr>
        <w:spacing w:after="60"/>
      </w:pPr>
      <w:r>
        <w:rPr>
          <w:b/>
          <w:i w:val="0"/>
          <w:smallCaps w:val="0"/>
          <w:strike w:val="0"/>
          <w:sz w:val="28"/>
          <w:u w:val="single"/>
        </w:rPr>
        <w:t>The 2020 Evaluation of EU Legislation on Design Protection stressed that the main goals of the sui generis design rights in the EU were to promote “a single market and an undistorted competition regime for products embodying designs</w:t>
      </w:r>
      <w:r>
        <w:rPr>
          <w:b w:val="0"/>
          <w:i w:val="0"/>
          <w:smallCaps w:val="0"/>
          <w:strike w:val="0"/>
          <w:sz w:val="16"/>
          <w:u w:val="none"/>
        </w:rPr>
        <w:t xml:space="preserve">”. The conducted studies have shown that the introduced sui generis regime has been broadly successful in reaching these goals. According to the evaluation, </w:t>
      </w:r>
      <w:r>
        <w:rPr>
          <w:b/>
          <w:i w:val="0"/>
          <w:smallCaps w:val="0"/>
          <w:strike w:val="0"/>
          <w:sz w:val="28"/>
          <w:u w:val="single"/>
        </w:rPr>
        <w:t>the sui generis rights provide “access to simple and affordable design protection by making it significantly easier and less costly to obtain a registered design right that is valid across the whole EU</w:t>
      </w:r>
      <w:r>
        <w:rPr>
          <w:b w:val="0"/>
          <w:i w:val="0"/>
          <w:smallCaps w:val="0"/>
          <w:strike w:val="0"/>
          <w:sz w:val="16"/>
          <w:u w:val="none"/>
        </w:rPr>
        <w:t xml:space="preserve">”. </w:t>
      </w:r>
      <w:r>
        <w:rPr>
          <w:b/>
          <w:i w:val="0"/>
          <w:smallCaps w:val="0"/>
          <w:strike w:val="0"/>
          <w:sz w:val="28"/>
          <w:u w:val="single"/>
        </w:rPr>
        <w:t>The evaluation concludes that “</w:t>
      </w:r>
      <w:r>
        <w:rPr>
          <w:b/>
          <w:i w:val="0"/>
          <w:smallCaps w:val="0"/>
          <w:strike w:val="0"/>
          <w:sz w:val="28"/>
          <w:highlight w:val="yellow"/>
          <w:u w:val="single"/>
        </w:rPr>
        <w:t>it is likely that without</w:t>
      </w:r>
      <w:r>
        <w:rPr>
          <w:b/>
          <w:i w:val="0"/>
          <w:smallCaps w:val="0"/>
          <w:strike w:val="0"/>
          <w:sz w:val="28"/>
          <w:u w:val="single"/>
        </w:rPr>
        <w:t xml:space="preserve"> EU </w:t>
      </w:r>
      <w:r>
        <w:rPr>
          <w:b/>
          <w:i w:val="0"/>
          <w:smallCaps w:val="0"/>
          <w:strike w:val="0"/>
          <w:sz w:val="28"/>
          <w:highlight w:val="yellow"/>
          <w:u w:val="single"/>
        </w:rPr>
        <w:t>legislation</w:t>
      </w:r>
      <w:r>
        <w:rPr>
          <w:b/>
          <w:i w:val="0"/>
          <w:smallCaps w:val="0"/>
          <w:strike w:val="0"/>
          <w:sz w:val="28"/>
          <w:u w:val="single"/>
        </w:rPr>
        <w:t xml:space="preserve"> on design protection, </w:t>
      </w:r>
      <w:r>
        <w:rPr>
          <w:b/>
          <w:i w:val="0"/>
          <w:smallCaps w:val="0"/>
          <w:strike w:val="0"/>
          <w:sz w:val="28"/>
          <w:highlight w:val="yellow"/>
          <w:u w:val="single"/>
        </w:rPr>
        <w:t>big differences between national laws would have remained</w:t>
      </w:r>
      <w:r>
        <w:rPr>
          <w:b/>
          <w:i w:val="0"/>
          <w:smallCaps w:val="0"/>
          <w:strike w:val="0"/>
          <w:sz w:val="28"/>
          <w:u w:val="single"/>
        </w:rPr>
        <w:t xml:space="preserve">, with the result that </w:t>
      </w:r>
      <w:r>
        <w:rPr>
          <w:b/>
          <w:i w:val="0"/>
          <w:smallCaps w:val="0"/>
          <w:strike w:val="0"/>
          <w:sz w:val="28"/>
          <w:highlight w:val="yellow"/>
          <w:u w:val="single"/>
        </w:rPr>
        <w:t>the internal market for</w:t>
      </w:r>
      <w:r>
        <w:rPr>
          <w:b/>
          <w:i w:val="0"/>
          <w:smallCaps w:val="0"/>
          <w:strike w:val="0"/>
          <w:sz w:val="28"/>
          <w:u w:val="single"/>
        </w:rPr>
        <w:t xml:space="preserve"> </w:t>
      </w:r>
      <w:r>
        <w:rPr>
          <w:b/>
          <w:i w:val="0"/>
          <w:smallCaps w:val="0"/>
          <w:strike w:val="0"/>
          <w:sz w:val="28"/>
          <w:highlight w:val="yellow"/>
          <w:u w:val="single"/>
        </w:rPr>
        <w:t>goods</w:t>
      </w:r>
      <w:r>
        <w:rPr>
          <w:b/>
          <w:i w:val="0"/>
          <w:smallCaps w:val="0"/>
          <w:strike w:val="0"/>
          <w:sz w:val="28"/>
          <w:u w:val="single"/>
        </w:rPr>
        <w:t xml:space="preserve"> embodying designs </w:t>
      </w:r>
      <w:r>
        <w:rPr>
          <w:b/>
          <w:i w:val="0"/>
          <w:smallCaps w:val="0"/>
          <w:strike w:val="0"/>
          <w:sz w:val="28"/>
          <w:highlight w:val="yellow"/>
          <w:u w:val="single"/>
        </w:rPr>
        <w:t>would remain fragmented</w:t>
      </w:r>
      <w:r>
        <w:rPr>
          <w:b/>
          <w:i w:val="0"/>
          <w:smallCaps w:val="0"/>
          <w:strike w:val="0"/>
          <w:sz w:val="28"/>
          <w:u w:val="single"/>
        </w:rPr>
        <w:t xml:space="preserve"> and distorted</w:t>
      </w:r>
      <w:r>
        <w:rPr>
          <w:b w:val="0"/>
          <w:i w:val="0"/>
          <w:smallCaps w:val="0"/>
          <w:strike w:val="0"/>
          <w:sz w:val="16"/>
          <w:u w:val="none"/>
        </w:rPr>
        <w:t xml:space="preserve">”. At the same time, the evaluation also reported a number of weak points of the design regime, namely only partial harmonization of the provisions on component parts used for repair of complex products and unclear interaction with copyright law, in particular the principle of </w:t>
      </w:r>
      <w:r>
        <w:rPr>
          <w:b w:val="0"/>
          <w:i w:val="0"/>
          <w:smallCaps w:val="0"/>
          <w:strike w:val="0"/>
          <w:sz w:val="16"/>
          <w:u w:val="none"/>
        </w:rPr>
        <w:t>cumulation,—</w:t>
      </w:r>
      <w:r>
        <w:rPr>
          <w:b w:val="0"/>
          <w:i w:val="0"/>
          <w:smallCaps w:val="0"/>
          <w:strike w:val="0"/>
          <w:sz w:val="16"/>
          <w:u w:val="none"/>
        </w:rPr>
        <w:t>an issue that was also broadly discussed by the scholars, as noted above.</w:t>
      </w:r>
    </w:p>
    <w:p>
      <w:pPr>
        <w:spacing w:after="60"/>
      </w:pPr>
      <w:r>
        <w:rPr>
          <w:b w:val="0"/>
          <w:i w:val="0"/>
          <w:smallCaps w:val="0"/>
          <w:strike w:val="0"/>
          <w:sz w:val="16"/>
          <w:u w:val="none"/>
        </w:rPr>
        <w:t xml:space="preserve">However, </w:t>
      </w:r>
      <w:r>
        <w:rPr>
          <w:b/>
          <w:i w:val="0"/>
          <w:smallCaps w:val="0"/>
          <w:strike w:val="0"/>
          <w:sz w:val="28"/>
          <w:u w:val="single"/>
        </w:rPr>
        <w:t>despite the flaws indicated both by scholars and in the evaluation</w:t>
      </w:r>
      <w:r>
        <w:rPr>
          <w:b w:val="0"/>
          <w:i w:val="0"/>
          <w:smallCaps w:val="0"/>
          <w:strike w:val="0"/>
          <w:sz w:val="16"/>
          <w:u w:val="none"/>
        </w:rPr>
        <w:t xml:space="preserve">, </w:t>
      </w:r>
      <w:r>
        <w:rPr>
          <w:b/>
          <w:i w:val="0"/>
          <w:smallCaps w:val="0"/>
          <w:strike w:val="0"/>
          <w:sz w:val="28"/>
          <w:u w:val="single"/>
        </w:rPr>
        <w:t xml:space="preserve">the </w:t>
      </w:r>
      <w:r>
        <w:rPr>
          <w:b/>
          <w:i w:val="0"/>
          <w:smallCaps w:val="0"/>
          <w:strike w:val="0"/>
          <w:sz w:val="28"/>
          <w:highlight w:val="yellow"/>
          <w:u w:val="single"/>
        </w:rPr>
        <w:t>EU sui generis</w:t>
      </w:r>
      <w:r>
        <w:rPr>
          <w:b/>
          <w:i w:val="0"/>
          <w:smallCaps w:val="0"/>
          <w:strike w:val="0"/>
          <w:sz w:val="28"/>
          <w:u w:val="single"/>
        </w:rPr>
        <w:t xml:space="preserve"> design regime remains an outstanding </w:t>
      </w:r>
      <w:r>
        <w:rPr>
          <w:b/>
          <w:i w:val="0"/>
          <w:smallCaps w:val="0"/>
          <w:strike w:val="0"/>
          <w:sz w:val="28"/>
          <w:highlight w:val="yellow"/>
          <w:u w:val="single"/>
        </w:rPr>
        <w:t>example of harmonization</w:t>
      </w:r>
      <w:r>
        <w:rPr>
          <w:b/>
          <w:i w:val="0"/>
          <w:smallCaps w:val="0"/>
          <w:strike w:val="0"/>
          <w:sz w:val="28"/>
          <w:u w:val="single"/>
        </w:rPr>
        <w:t xml:space="preserve"> of national design laws</w:t>
      </w:r>
      <w:r>
        <w:rPr>
          <w:b w:val="0"/>
          <w:i w:val="0"/>
          <w:smallCaps w:val="0"/>
          <w:strike w:val="0"/>
          <w:sz w:val="16"/>
          <w:u w:val="none"/>
        </w:rPr>
        <w:t xml:space="preserve">, </w:t>
      </w:r>
      <w:r>
        <w:rPr>
          <w:b/>
          <w:i w:val="0"/>
          <w:smallCaps w:val="0"/>
          <w:strike w:val="0"/>
          <w:sz w:val="28"/>
          <w:highlight w:val="yellow"/>
          <w:u w:val="single"/>
        </w:rPr>
        <w:t>providing legal certainty</w:t>
      </w:r>
      <w:r>
        <w:rPr>
          <w:b w:val="0"/>
          <w:i w:val="0"/>
          <w:smallCaps w:val="0"/>
          <w:strike w:val="0"/>
          <w:sz w:val="16"/>
          <w:u w:val="none"/>
        </w:rPr>
        <w:t xml:space="preserve"> to designers of multiple industries in the EU. </w:t>
      </w:r>
      <w:r>
        <w:rPr>
          <w:b/>
          <w:i w:val="0"/>
          <w:smallCaps w:val="0"/>
          <w:strike w:val="0"/>
          <w:sz w:val="28"/>
          <w:u w:val="single"/>
        </w:rPr>
        <w:t>Such example of legal certainty that could be provided to designers</w:t>
      </w:r>
      <w:r>
        <w:rPr>
          <w:b w:val="0"/>
          <w:i w:val="0"/>
          <w:smallCaps w:val="0"/>
          <w:strike w:val="0"/>
          <w:sz w:val="16"/>
          <w:u w:val="none"/>
        </w:rPr>
        <w:t xml:space="preserve">, along with the high numbers of applications for RCDs and granted RCDs, </w:t>
      </w:r>
      <w:r>
        <w:rPr>
          <w:b/>
          <w:i w:val="0"/>
          <w:smallCaps w:val="0"/>
          <w:strike w:val="0"/>
          <w:sz w:val="28"/>
          <w:highlight w:val="yellow"/>
          <w:u w:val="single"/>
        </w:rPr>
        <w:t>make the supporters of a sui generis design protection in the U.S. view the EU sui generis</w:t>
      </w:r>
      <w:r>
        <w:rPr>
          <w:b/>
          <w:i w:val="0"/>
          <w:smallCaps w:val="0"/>
          <w:strike w:val="0"/>
          <w:sz w:val="28"/>
          <w:u w:val="single"/>
        </w:rPr>
        <w:t xml:space="preserve"> designs rights </w:t>
      </w:r>
      <w:r>
        <w:rPr>
          <w:b/>
          <w:i w:val="0"/>
          <w:smallCaps w:val="0"/>
          <w:strike w:val="0"/>
          <w:sz w:val="28"/>
          <w:highlight w:val="yellow"/>
          <w:u w:val="single"/>
        </w:rPr>
        <w:t>as a model that the U.S. should follow.</w:t>
      </w:r>
      <w:r>
        <w:rPr>
          <w:b w:val="0"/>
          <w:i w:val="0"/>
          <w:smallCaps w:val="0"/>
          <w:strike w:val="0"/>
          <w:sz w:val="16"/>
          <w:highlight w:val="yellow"/>
          <w:u w:val="none"/>
        </w:rPr>
        <w:t>37</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