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The </w:t>
      </w:r>
      <w:r>
        <w:rPr>
          <w:b/>
          <w:i w:val="0"/>
          <w:smallCaps w:val="0"/>
          <w:strike w:val="0"/>
          <w:sz w:val="28"/>
          <w:u w:val="single"/>
        </w:rPr>
        <w:t>most expert group of inventors</w:t>
      </w:r>
      <w:r>
        <w:rPr>
          <w:b/>
          <w:i w:val="0"/>
          <w:smallCaps w:val="0"/>
          <w:strike w:val="0"/>
          <w:sz w:val="28"/>
          <w:u w:val="none"/>
        </w:rPr>
        <w:t xml:space="preserve"> says sui generis solves better than PERA – &lt;also proves politics net benefit&gt;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McDermott 24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[Eileen, Editor-in-Chief of IPWatchdog.com, Witnesses Clash Over Potential Pros and Cons of PERA in Senate IP Subcommittee Hearing, </w:t>
      </w:r>
      <w:r>
        <w:rPr>
          <w:b w:val="0"/>
          <w:i w:val="0"/>
          <w:smallCaps w:val="0"/>
          <w:strike w:val="0"/>
          <w:sz w:val="24"/>
          <w:u w:val="none"/>
        </w:rPr>
        <w:t>, ALB]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During the second panel, three of the witnesses—Professor Adam Mossoff of the Antonin Scalia Law School, George Mason University; Mark Deem of Lightstone Ventures; and former USPTO Director David Kappos—urged the Subcommittee to pass PERA swiftly, while </w:t>
      </w:r>
      <w:r>
        <w:rPr>
          <w:b/>
          <w:i w:val="0"/>
          <w:smallCaps w:val="0"/>
          <w:strike w:val="0"/>
          <w:sz w:val="28"/>
          <w:u w:val="single"/>
        </w:rPr>
        <w:t>David Jones of the High-Tech Inventors Alliance (HTIA) said there are too many concerns with the language and too many questions around whether legislative changes are necessary to warrant passage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Jones cited statistics that he claims show Section 101 law is more predictable than other areas of patent law based on USPTO and court </w:t>
      </w:r>
      <w:r>
        <w:rPr>
          <w:b w:val="0"/>
          <w:i w:val="0"/>
          <w:smallCaps w:val="0"/>
          <w:strike w:val="0"/>
          <w:sz w:val="16"/>
          <w:u w:val="none"/>
        </w:rPr>
        <w:t>decisions,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said that </w:t>
      </w:r>
      <w:r>
        <w:rPr>
          <w:b/>
          <w:i w:val="0"/>
          <w:smallCaps w:val="0"/>
          <w:strike w:val="0"/>
          <w:sz w:val="28"/>
          <w:u w:val="single"/>
        </w:rPr>
        <w:t>HTIA is concerned PERA</w:t>
      </w:r>
      <w:r>
        <w:rPr>
          <w:b/>
          <w:i w:val="0"/>
          <w:smallCaps w:val="0"/>
          <w:strike w:val="0"/>
          <w:sz w:val="28"/>
          <w:u w:val="single"/>
        </w:rPr>
        <w:t xml:space="preserve"> would make almost any human activity patent eligible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 xml:space="preserve">He suggested a more targeted approach that would involve identifying </w:t>
      </w:r>
      <w:r>
        <w:rPr>
          <w:b/>
          <w:i w:val="0"/>
          <w:smallCaps w:val="0"/>
          <w:strike w:val="0"/>
          <w:sz w:val="28"/>
          <w:u w:val="single"/>
        </w:rPr>
        <w:t>particular problem</w:t>
      </w:r>
      <w:r>
        <w:rPr>
          <w:b/>
          <w:i w:val="0"/>
          <w:smallCaps w:val="0"/>
          <w:strike w:val="0"/>
          <w:sz w:val="28"/>
          <w:u w:val="single"/>
        </w:rPr>
        <w:t xml:space="preserve"> areas and creating </w:t>
      </w:r>
      <w:r>
        <w:rPr>
          <w:b/>
          <w:i w:val="0"/>
          <w:smallCaps w:val="0"/>
          <w:strike w:val="0"/>
          <w:sz w:val="28"/>
          <w:u w:val="single"/>
        </w:rPr>
        <w:t>sui generis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adopting a standard that’s “explicitly tethered to an advance in technology.”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