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The EU fashion system proves sui generis solves commerce counterfeit </w:t>
      </w:r>
      <w:r>
        <w:rPr>
          <w:b/>
          <w:i w:val="0"/>
          <w:smallCaps w:val="0"/>
          <w:strike w:val="0"/>
          <w:sz w:val="28"/>
          <w:u w:val="none"/>
        </w:rPr>
        <w:t>best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Mays 19 </w:t>
      </w:r>
      <w:r>
        <w:rPr>
          <w:b w:val="0"/>
          <w:i w:val="0"/>
          <w:smallCaps w:val="0"/>
          <w:strike w:val="0"/>
          <w:sz w:val="24"/>
          <w:u w:val="none"/>
        </w:rPr>
        <w:t>[Jóna N., Vanderbilt Law School, “The art we wear,” The Journal of World Intellectual Property, DOI: 10.1111/jwip.12133, pg. Wiley Online Library, ALB]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The European Union Fashion creators can find much more straightforward and encompassing protection in the European Union than in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Since the passage of the European Community Design Protection Regulation in 2002, the European Union has had a unified design protection system. </w:t>
      </w:r>
      <w:r>
        <w:rPr>
          <w:b/>
          <w:i w:val="0"/>
          <w:smallCaps w:val="0"/>
          <w:strike w:val="0"/>
          <w:sz w:val="28"/>
          <w:u w:val="single"/>
        </w:rPr>
        <w:t>Unlike the United States attempts to modify its copyright regime, this system of protection is sui generis, thus does not interfere with the constraints of previously established intellectual property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(see Beltrametti, 2010, p. 168). The regulation establishes two routes for protection: An automatic unregistered community design (UCD) and a registered community design (</w:t>
      </w:r>
      <w:r>
        <w:rPr>
          <w:b w:val="0"/>
          <w:i w:val="0"/>
          <w:smallCaps w:val="0"/>
          <w:strike w:val="0"/>
          <w:sz w:val="16"/>
          <w:u w:val="none"/>
        </w:rPr>
        <w:t>RCD;Beltrametti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2010, p. 168). </w:t>
      </w:r>
      <w:r>
        <w:rPr>
          <w:b/>
          <w:i w:val="0"/>
          <w:smallCaps w:val="0"/>
          <w:strike w:val="0"/>
          <w:sz w:val="28"/>
          <w:u w:val="single"/>
        </w:rPr>
        <w:t>Both the UCD and RCD grant to the creator the exclusive right to use their designs in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commerce, take legal actions against infringers, and claim damages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(Beltrametti, 2010, p. 168). </w:t>
      </w:r>
      <w:r>
        <w:rPr>
          <w:b/>
          <w:i w:val="0"/>
          <w:smallCaps w:val="0"/>
          <w:strike w:val="0"/>
          <w:sz w:val="28"/>
          <w:u w:val="single"/>
        </w:rPr>
        <w:t>This protection is available uniformly across all European Union member states</w:t>
      </w:r>
      <w:r>
        <w:rPr>
          <w:b w:val="0"/>
          <w:i w:val="0"/>
          <w:smallCaps w:val="0"/>
          <w:strike w:val="0"/>
          <w:sz w:val="16"/>
          <w:u w:val="none"/>
        </w:rPr>
        <w:t>. (Beltrametti, 2010, p. 168</w:t>
      </w:r>
      <w:r>
        <w:rPr>
          <w:b w:val="0"/>
          <w:i w:val="0"/>
          <w:smallCaps w:val="0"/>
          <w:strike w:val="0"/>
          <w:sz w:val="16"/>
          <w:u w:val="none"/>
        </w:rPr>
        <w:t>).The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requirements for both UCD and RCD protection require that designs be “novel” and have an “individualcharacter” (Beltrametti, 2010, p. 170). To be novel, the design must have a new impression upon the </w:t>
      </w:r>
      <w:r>
        <w:rPr>
          <w:b w:val="0"/>
          <w:i w:val="0"/>
          <w:smallCaps w:val="0"/>
          <w:strike w:val="0"/>
          <w:sz w:val="16"/>
          <w:u w:val="none"/>
        </w:rPr>
        <w:t>consumer(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Beltrametti, 2010, p. 170). The RCD grants 5 years of protection with the option to apply for four more extensionsof 5 years each (Beltrametti, 2010, p. 169). The UCD grants 3 years of protection to designs that are made availableto the public, starting from when the design was disclosed (Beltrametti, 2010, p. 169). </w:t>
      </w:r>
      <w:r>
        <w:rPr>
          <w:b/>
          <w:i w:val="0"/>
          <w:smallCaps w:val="0"/>
          <w:strike w:val="0"/>
          <w:sz w:val="28"/>
          <w:u w:val="single"/>
        </w:rPr>
        <w:t xml:space="preserve">This is </w:t>
      </w:r>
      <w:r>
        <w:rPr>
          <w:b/>
          <w:i w:val="0"/>
          <w:smallCaps w:val="0"/>
          <w:strike w:val="0"/>
          <w:sz w:val="28"/>
          <w:u w:val="single"/>
        </w:rPr>
        <w:t>similar to</w:t>
      </w:r>
      <w:r>
        <w:rPr>
          <w:b/>
          <w:i w:val="0"/>
          <w:smallCaps w:val="0"/>
          <w:strike w:val="0"/>
          <w:sz w:val="28"/>
          <w:u w:val="single"/>
        </w:rPr>
        <w:t xml:space="preserve"> the American trademark requirement that marks be in use, however, UCD disclosure need not be used in commerce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Displays in trade exhibitions and various media outlets also qualify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(Beltrametti, 2010, p. 169</w:t>
      </w:r>
      <w:r>
        <w:rPr>
          <w:b w:val="0"/>
          <w:i w:val="0"/>
          <w:smallCaps w:val="0"/>
          <w:strike w:val="0"/>
          <w:sz w:val="16"/>
          <w:u w:val="none"/>
        </w:rPr>
        <w:t>).In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determining infringement, designs that were independently created are not infringing. Further, </w:t>
      </w:r>
      <w:r>
        <w:rPr>
          <w:b w:val="0"/>
          <w:i w:val="0"/>
          <w:smallCaps w:val="0"/>
          <w:strike w:val="0"/>
          <w:sz w:val="16"/>
          <w:u w:val="none"/>
        </w:rPr>
        <w:t>in  determining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whether a UCD right exists, courts look to the overall impression on the “informed user,” who issomeone who has a good knowledge of designs of the relevant article previously available in the market(Darcy, 2013, p. 90).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