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Politics is a net benefit – Congress can custom craft industry appealing </w:t>
      </w:r>
      <w:r>
        <w:rPr>
          <w:b/>
          <w:i w:val="0"/>
          <w:smallCaps w:val="0"/>
          <w:strike w:val="0"/>
          <w:sz w:val="28"/>
          <w:u w:val="none"/>
        </w:rPr>
        <w:t>legislation</w:t>
      </w:r>
    </w:p>
    <w:p>
      <w:pPr>
        <w:spacing w:after="80"/>
      </w:pPr>
      <w:r>
        <w:rPr>
          <w:b/>
          <w:i w:val="0"/>
          <w:smallCaps w:val="0"/>
          <w:strike w:val="0"/>
          <w:sz w:val="24"/>
          <w:u w:val="none"/>
        </w:rPr>
        <w:t xml:space="preserve">Keebaugh 5 </w:t>
      </w:r>
      <w:r>
        <w:rPr>
          <w:b w:val="0"/>
          <w:i w:val="0"/>
          <w:smallCaps w:val="0"/>
          <w:strike w:val="0"/>
          <w:sz w:val="24"/>
          <w:u w:val="none"/>
        </w:rPr>
        <w:t xml:space="preserve">[Regan E., law student at University of Georgia, “Intellectual Property and the Protection of Industrial Design: Are Sui Generis Protection Measures the Answer to Vocal Opponents and a Reluctant Congress?,” Journal of Intellectual Property Law, Vol 13 Iss 1, </w:t>
      </w:r>
      <w:r>
        <w:rPr>
          <w:b w:val="0"/>
          <w:i w:val="0"/>
          <w:smallCaps w:val="0"/>
          <w:strike w:val="0"/>
          <w:sz w:val="24"/>
          <w:u w:val="none"/>
        </w:rPr>
        <w:t>, ALB]</w:t>
      </w:r>
    </w:p>
    <w:p>
      <w:pPr>
        <w:spacing w:after="60"/>
      </w:pPr>
      <w:r>
        <w:rPr>
          <w:b w:val="0"/>
          <w:i w:val="0"/>
          <w:smallCaps w:val="0"/>
          <w:strike w:val="0"/>
          <w:sz w:val="16"/>
          <w:u w:val="none"/>
        </w:rPr>
        <w:t xml:space="preserve">In sum, </w:t>
      </w:r>
      <w:r>
        <w:rPr>
          <w:b/>
          <w:i w:val="0"/>
          <w:smallCaps w:val="0"/>
          <w:strike w:val="0"/>
          <w:sz w:val="28"/>
          <w:u w:val="single"/>
        </w:rPr>
        <w:t>the advantages of sui generis protection of industrial design include (1) allowing Congress to design legislation to serve the specific needs of individual industries and (2) giving Congress the ability to pass design protection legislation with limited scope and effect, thereby allowing Congress to strengthen protection for industries that support stronger protection and avoid opposition from industries that do not</w:t>
      </w:r>
      <w:r>
        <w:rPr>
          <w:b w:val="0"/>
          <w:i w:val="0"/>
          <w:smallCaps w:val="0"/>
          <w:strike w:val="0"/>
          <w:sz w:val="16"/>
          <w:u w:val="none"/>
        </w:rPr>
        <w:t xml:space="preserve">. Although sui generis legislation does create new burdens for Congress and for the Copyright Office, methods exist by which </w:t>
      </w:r>
      <w:r>
        <w:rPr>
          <w:b w:val="0"/>
          <w:i w:val="0"/>
          <w:smallCaps w:val="0"/>
          <w:strike w:val="0"/>
          <w:sz w:val="16"/>
          <w:u w:val="none"/>
        </w:rPr>
        <w:t>both of these</w:t>
      </w:r>
      <w:r>
        <w:rPr>
          <w:b w:val="0"/>
          <w:i w:val="0"/>
          <w:smallCaps w:val="0"/>
          <w:strike w:val="0"/>
          <w:sz w:val="16"/>
          <w:u w:val="none"/>
        </w:rPr>
        <w:t xml:space="preserve"> institutions can minimize and control these burdens. The bottom line is that </w:t>
      </w:r>
      <w:r>
        <w:rPr>
          <w:b/>
          <w:i w:val="0"/>
          <w:smallCaps w:val="0"/>
          <w:strike w:val="0"/>
          <w:sz w:val="28"/>
          <w:u w:val="single"/>
        </w:rPr>
        <w:t>sui generis design protection provides an efficient and effective way for Congress to meet the needs of the design community.</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