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CP is Congress</w:t>
      </w:r>
    </w:p>
    <w:p>
      <w:pPr>
        <w:spacing w:after="80"/>
      </w:pPr>
      <w:r>
        <w:rPr>
          <w:b/>
          <w:i w:val="0"/>
          <w:smallCaps w:val="0"/>
          <w:strike w:val="0"/>
          <w:sz w:val="24"/>
          <w:u w:val="none"/>
        </w:rPr>
        <w:t xml:space="preserve">Tham et al 20 </w:t>
      </w:r>
      <w:r>
        <w:rPr>
          <w:b w:val="0"/>
          <w:i w:val="0"/>
          <w:smallCaps w:val="0"/>
          <w:strike w:val="0"/>
          <w:sz w:val="24"/>
          <w:u w:val="none"/>
        </w:rPr>
        <w:t xml:space="preserve">[Yeen, Patent Enforcement &amp; Copyright Policy Intellectual Property Counsel at IBM, paper produced for the Intellectual Property Owners Association Artificial Intelligence and Emerging Technologies Committee, other contributors: Andrea Evensen, Karen Fowler, Dan Hoovler, Hugh Pasika, Guillaume Jaulerry, Chris Mammen, Nick Palmieri, Ryan Phelan, Caroline Pinkston, Steven Schwarz, Steve Shipe, Nicole Spence, Kyle Trout, Shaun Zhang, “Sui Generis Right for Trained AI Models, </w:t>
      </w:r>
      <w:r>
        <w:rPr>
          <w:b w:val="0"/>
          <w:i w:val="0"/>
          <w:smallCaps w:val="0"/>
          <w:strike w:val="0"/>
          <w:sz w:val="24"/>
          <w:u w:val="none"/>
        </w:rPr>
        <w:t>, ALB]</w:t>
      </w:r>
    </w:p>
    <w:p>
      <w:pPr>
        <w:spacing w:after="60"/>
      </w:pPr>
      <w:r>
        <w:rPr>
          <w:b w:val="0"/>
          <w:i w:val="0"/>
          <w:smallCaps w:val="0"/>
          <w:strike w:val="0"/>
          <w:sz w:val="16"/>
          <w:u w:val="none"/>
        </w:rPr>
        <w:t xml:space="preserve">Additionally, this paper considers </w:t>
      </w:r>
      <w:r>
        <w:rPr>
          <w:b/>
          <w:i w:val="0"/>
          <w:smallCaps w:val="0"/>
          <w:strike w:val="0"/>
          <w:sz w:val="28"/>
          <w:u w:val="single"/>
        </w:rPr>
        <w:t>the creation of a sui generis right</w:t>
      </w:r>
      <w:r>
        <w:rPr>
          <w:b w:val="0"/>
          <w:i w:val="0"/>
          <w:smallCaps w:val="0"/>
          <w:strike w:val="0"/>
          <w:sz w:val="16"/>
          <w:u w:val="none"/>
        </w:rPr>
        <w:t xml:space="preserve"> for trained AI models. The term “sui generis” means “of [its] own kind; in a class by itself; unique.”4 A </w:t>
      </w:r>
      <w:r>
        <w:rPr>
          <w:b/>
          <w:i w:val="0"/>
          <w:smallCaps w:val="0"/>
          <w:strike w:val="0"/>
          <w:sz w:val="28"/>
          <w:u w:val="single"/>
        </w:rPr>
        <w:t>sui generis right is created legislatively to protect a very specific type of work that may not be adequately protected by traditional forms of IP</w:t>
      </w:r>
      <w:r>
        <w:rPr>
          <w:b w:val="0"/>
          <w:i w:val="0"/>
          <w:smallCaps w:val="0"/>
          <w:strike w:val="0"/>
          <w:sz w:val="16"/>
          <w:u w:val="none"/>
        </w:rPr>
        <w:t xml:space="preserve">. Examples of current sui generis IP protections include integrated circuit layouts, ship hull designs, fashion designs, databases (EU), and plant varieties.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