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Specifically, copyright protection is uniquely valuable. Protection under copyright fuses western and customary law and heightens autonomy by allowing Indigenous people to opt in to copyright protection as they see fit. </w:t>
      </w:r>
    </w:p>
    <w:p>
      <w:pPr>
        <w:spacing w:after="80"/>
      </w:pPr>
      <w:r>
        <w:rPr>
          <w:b/>
          <w:i w:val="0"/>
          <w:smallCaps w:val="0"/>
          <w:strike w:val="0"/>
          <w:sz w:val="16"/>
          <w:u w:val="none"/>
        </w:rPr>
        <w:t>Steffe 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(Luke Steffe, Indiana University Maurer School of Law, J.D. cum laude, Protection and Prevention: The Shortcomings of U.S. Copyright Law in Combatting Cultural Appropriation in the Fashion Industry, https://www.repository.law.indiana.edu/ipt/vol12/iss3/4/, IP Theory Vol. 12: Iss. 3, Article 4, Summer 2023---gm)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While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sui generis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protections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address specific legal shortcomings, they merely accommodate customary law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Modifying the Copyright Act to incorporate, rather than separately address,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these legal concepts fully recognize the value of TCEs as copyrightable material.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Fusing concepts such as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cultural patrimony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into 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the fundamental tenants of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copyright law would allow for an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expanded understanding of authorship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, as TCEs often represent this same level of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cultural significance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 such that the community the TCE represents effectively “authored” </w:t>
      </w:r>
      <w:r>
        <w:rPr>
          <w:b w:val="0"/>
          <w:i w:val="0"/>
          <w:smallCaps w:val="0"/>
          <w:strike w:val="0"/>
          <w:sz w:val="20"/>
          <w:u w:val="single"/>
        </w:rPr>
        <w:t>it</w:t>
      </w:r>
      <w:r>
        <w:rPr>
          <w:b w:val="0"/>
          <w:i w:val="0"/>
          <w:smallCaps w:val="0"/>
          <w:strike w:val="0"/>
          <w:sz w:val="20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This new category of authorship must operate in a limited scope, only </w:t>
      </w:r>
      <w:r>
        <w:rPr>
          <w:b w:val="0"/>
          <w:i w:val="0"/>
          <w:smallCaps w:val="0"/>
          <w:strike w:val="0"/>
          <w:sz w:val="20"/>
          <w:u w:val="single"/>
        </w:rPr>
        <w:t>extending to a work with such cultural significance that it exists indivisible from its holder</w:t>
      </w:r>
      <w:r>
        <w:rPr>
          <w:b w:val="0"/>
          <w:i w:val="0"/>
          <w:smallCaps w:val="0"/>
          <w:strike w:val="0"/>
          <w:sz w:val="16"/>
          <w:u w:val="none"/>
        </w:rPr>
        <w:t>. Following the 10</w:t>
      </w:r>
      <w:r>
        <w:rPr>
          <w:b w:val="0"/>
          <w:i w:val="0"/>
          <w:smallCaps w:val="0"/>
          <w:strike w:val="0"/>
          <w:sz w:val="16"/>
          <w:u w:val="none"/>
        </w:rPr>
        <w:t>th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Circuit’s lead in Corrow and taking note from Australian jurisprudence, judge-made law can begin the process of recognizing communal authorship in the United States.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current inability to identify an author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because of the differences in customary notions of authorship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leaves incredibly sacred Indigenous designs and garments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entirely unprotected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By expanding the definition of authorship,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the Copyright Act can accommodate TCEs within the existing framework, and possessing a valid copyright allows for 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full enjoyment of the benefits granted by the Act</w:t>
      </w:r>
      <w:r>
        <w:rPr>
          <w:b w:val="0"/>
          <w:i w:val="0"/>
          <w:smallCaps w:val="0"/>
          <w:strike w:val="0"/>
          <w:sz w:val="20"/>
          <w:u w:val="single"/>
        </w:rPr>
        <w:t>,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such as an economic monopoly and standing to bring suit for infringement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Indigenous communities will also have the autonomy to make decisions about licensing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exploiting their designs, options foreclosed to works existing in the public domain.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However, merely recognizing Indigenous designs as copyrightable only partially protects them from exploitation by mainstream fashion. To offer a wellrounded bundle of protections, the United States must explicitly recognize and enforce moral rights.</w:t>
      </w:r>
    </w:p>
    <w:p>
      <w:pPr>
        <w:pStyle w:val="Caption"/>
      </w:pPr>
      <w:r>
        <w:t>Source: Indigenous Copyright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