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Congress Key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Perez 23</w:t>
      </w:r>
      <w:r>
        <w:rPr>
          <w:b w:val="0"/>
          <w:i w:val="0"/>
          <w:smallCaps w:val="0"/>
          <w:strike w:val="0"/>
          <w:sz w:val="16"/>
          <w:u w:val="none"/>
        </w:rPr>
        <w:t>, JD Candidate @ St. Thomas Law School (Trey, “NATIVE AMERICAN INTELLECTUAL PROPERTY PROTECTION: ALTERING FEDERAL IP LAW AND THE INDIAN ARTS AND CRAFTS ACT TO AID TRIBAL ECONOMIC DEVELOPMENT, 11 American Indian L.J. 1)//BB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shown by the Shingle Springs Band case, federal trademark law leaves much to be desired when it comes to allowing tribes to protect their names from non-members. Moreover,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suffer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significant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unauthorized copying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their traditional designs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."86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lack of action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protect intellectual property among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jarring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individual Native artists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as previously mentioned,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 well-off economically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unlikely to successfully defend an action for copyright or trademark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Although the IACA is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start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cannot be Congress's last action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the intellectual property rights of Native American tribes and their members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taken steps to protect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tangible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aspects of tribal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.87 Passing legislation to protect historically important artifacts "established a fundamental principle of Native American ownership of their cultural property."88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Even so, there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remains no recourse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appropriation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cultural aspects of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are 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has led some tribes to protect its intangible  [*12]  cultural property of significance from outsiders.89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both tangible and intangible elements of tribal culture are "essential to the survival of Indian Nations as distinctive cultural and political groups,"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Congress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must act by altering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the current intellectual property schemes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 United States</w:t>
      </w:r>
      <w:r>
        <w:rPr>
          <w:b w:val="0"/>
          <w:i w:val="0"/>
          <w:smallCaps w:val="0"/>
          <w:strike w:val="0"/>
          <w:sz w:val="16"/>
          <w:u w:val="none"/>
        </w:rPr>
        <w:t>.90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