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“Domestic” laws are laws </w:t>
      </w:r>
      <w:r>
        <w:rPr>
          <w:b/>
          <w:i w:val="0"/>
          <w:smallCaps w:val="0"/>
          <w:strike w:val="0"/>
          <w:sz w:val="24"/>
          <w:u w:val="none"/>
        </w:rPr>
        <w:t>in</w:t>
      </w:r>
      <w:r>
        <w:rPr>
          <w:b/>
          <w:i w:val="0"/>
          <w:smallCaps w:val="0"/>
          <w:strike w:val="0"/>
          <w:sz w:val="24"/>
          <w:u w:val="none"/>
        </w:rPr>
        <w:t xml:space="preserve"> the U.S.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SEC </w:t>
      </w:r>
      <w:r>
        <w:rPr>
          <w:b/>
          <w:i w:val="0"/>
          <w:smallCaps w:val="0"/>
          <w:strike w:val="0"/>
          <w:sz w:val="24"/>
          <w:u w:val="none"/>
        </w:rPr>
        <w:t xml:space="preserve">’17 </w:t>
      </w:r>
      <w:r>
        <w:rPr>
          <w:b w:val="0"/>
          <w:i w:val="0"/>
          <w:smallCaps w:val="0"/>
          <w:strike w:val="0"/>
          <w:sz w:val="16"/>
          <w:u w:val="none"/>
        </w:rPr>
        <w:t>[</w:t>
      </w:r>
      <w:r>
        <w:rPr>
          <w:b w:val="0"/>
          <w:i w:val="0"/>
          <w:smallCaps w:val="0"/>
          <w:strike w:val="0"/>
          <w:sz w:val="16"/>
          <w:u w:val="none"/>
        </w:rPr>
        <w:t>“Party Lien Debt Pledge and Security Agreement,” filed with the Securities and Exchange Commission, 28 March 2017, https://www.sec.gov/Archives/edgar/data/1540729/000110465917021037/a17-10103_1ex10d4.htm.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“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Domestic Laws</w:t>
      </w:r>
      <w:r>
        <w:rPr>
          <w:b w:val="0"/>
          <w:i w:val="0"/>
          <w:smallCaps w:val="0"/>
          <w:strike w:val="0"/>
          <w:sz w:val="20"/>
          <w:u w:val="single"/>
        </w:rPr>
        <w:t>”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shall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mean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laws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rules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</w:t>
      </w:r>
      <w:r>
        <w:rPr>
          <w:b/>
          <w:i w:val="0"/>
          <w:smallCaps w:val="0"/>
          <w:strike w:val="0"/>
          <w:sz w:val="20"/>
          <w:u w:val="single"/>
        </w:rPr>
        <w:t>regulations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of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U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nited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20"/>
          <w:u w:val="single"/>
        </w:rPr>
        <w:t>tates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any State thereof or the District of Columbia.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