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Indigenous lands</w:t>
      </w:r>
      <w:r>
        <w:rPr>
          <w:b/>
          <w:i w:val="0"/>
          <w:smallCaps w:val="0"/>
          <w:strike w:val="0"/>
          <w:sz w:val="24"/>
          <w:u w:val="none"/>
        </w:rPr>
        <w:t xml:space="preserve"> “belong” to the USFG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Prygoski 1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(Philip J, professor of law, Thomas M Cooley Law School, 02.01.01, “From Marshall to Marshall: The Supreme Court's changing stance on tribal sovereignty”, </w:t>
      </w:r>
      <w:r>
        <w:rPr>
          <w:b w:val="0"/>
          <w:i w:val="0"/>
          <w:smallCaps w:val="0"/>
          <w:strike w:val="0"/>
          <w:sz w:val="16"/>
          <w:u w:val="none"/>
        </w:rPr>
        <w:t>http://www.americanbar.org/newsletter/publications/gp_solo_magazine_home/gp_solo_magazine_index/marshall.html</w:t>
      </w:r>
      <w:r>
        <w:rPr>
          <w:b w:val="0"/>
          <w:i w:val="0"/>
          <w:smallCaps w:val="0"/>
          <w:strike w:val="0"/>
          <w:sz w:val="16"/>
          <w:u w:val="none"/>
        </w:rPr>
        <w:t>, Accessed 07.22.14)//LD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**We do not endorse any of the decisions made by the Supreme Court referenced in this article.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 xml:space="preserve">In the first of these cases, Johnson v. McIntosh (21 U.S. (8 Wheat.) 543 (1823)),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Chief Justice Marshall ruled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for the Court </w:t>
      </w:r>
      <w:r>
        <w:rPr>
          <w:b w:val="0"/>
          <w:i w:val="0"/>
          <w:smallCaps w:val="0"/>
          <w:strike w:val="0"/>
          <w:sz w:val="20"/>
          <w:u w:val="single"/>
        </w:rPr>
        <w:t>that Indian tribes could not convey land to private parties without the consent of the federal government.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The Court reasoned that, after conquest by the Europeans and the establishment of the United States,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rights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the tribes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complete sovereignty were diminished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tribes'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power to dispose of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land was denied</w:t>
      </w:r>
      <w:r>
        <w:rPr>
          <w:b w:val="0"/>
          <w:i w:val="0"/>
          <w:smallCaps w:val="0"/>
          <w:strike w:val="0"/>
          <w:sz w:val="10"/>
          <w:u w:val="none"/>
        </w:rPr>
        <w:t xml:space="preserve">. In Cherokee Nation v. Georgia (30 U.S. (5 Pet.) 1 (1831)), the Court addressed the question of whether the Cherokee Nation was a "foreign state" and, therefore, could sue the State of Georgia in federal court under diversity jurisdiction.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Chief Justice Marshall ruled that </w:t>
      </w:r>
      <w:r>
        <w:rPr>
          <w:b w:val="0"/>
          <w:i w:val="0"/>
          <w:smallCaps w:val="0"/>
          <w:strike w:val="0"/>
          <w:sz w:val="10"/>
          <w:u w:val="none"/>
        </w:rPr>
        <w:t xml:space="preserve">federal courts had no jurisdiction over such a case because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Indian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tribes were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merely "domestic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dependent </w:t>
      </w:r>
      <w:r>
        <w:rPr>
          <w:b w:val="0"/>
          <w:i w:val="0"/>
          <w:smallCaps w:val="0"/>
          <w:strike w:val="0"/>
          <w:sz w:val="20"/>
          <w:u w:val="single"/>
        </w:rPr>
        <w:t>nations" existing "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state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pupilage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Their relation to the United States resembles that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 ward to his guardian</w:t>
      </w:r>
      <w:r>
        <w:rPr>
          <w:b w:val="0"/>
          <w:i w:val="0"/>
          <w:smallCaps w:val="0"/>
          <w:strike w:val="0"/>
          <w:sz w:val="10"/>
          <w:u w:val="none"/>
        </w:rPr>
        <w:t xml:space="preserve">." The statements by the Court in Cherokee Nation established the premise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Indian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nations do not possess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all of 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attributes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sovereignty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the word "nation" normally implies</w:t>
      </w:r>
      <w:r>
        <w:rPr>
          <w:b w:val="0"/>
          <w:i w:val="0"/>
          <w:smallCaps w:val="0"/>
          <w:strike w:val="0"/>
          <w:sz w:val="1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Indian nations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are not "foreign," but rather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exist within 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geographical boundaries of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10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10"/>
          <w:u w:val="none"/>
        </w:rPr>
        <w:t xml:space="preserve">tates,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which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necessarily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limits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sovereignty</w:t>
      </w:r>
      <w:r>
        <w:rPr>
          <w:b w:val="0"/>
          <w:i w:val="0"/>
          <w:smallCaps w:val="0"/>
          <w:strike w:val="0"/>
          <w:sz w:val="10"/>
          <w:u w:val="none"/>
        </w:rPr>
        <w:t>. It would be unacceptable for an Indian nation located within the United States to enter into treaties with other countries, or to cede Indian land to foreign countries (to have a French or German enclave in the middle of Montana, for example.)</w:t>
      </w:r>
    </w:p>
    <w:p>
      <w:pPr>
        <w:pStyle w:val="Caption"/>
      </w:pPr>
      <w:r>
        <w:t>Source: Indigenous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