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A---</w:t>
      </w:r>
      <w:r>
        <w:rPr>
          <w:b/>
          <w:i w:val="0"/>
          <w:smallCaps w:val="0"/>
          <w:strike w:val="0"/>
          <w:sz w:val="24"/>
          <w:u w:val="single"/>
        </w:rPr>
        <w:t>INCLUSION</w:t>
      </w:r>
      <w:r>
        <w:rPr>
          <w:b/>
          <w:i w:val="0"/>
          <w:smallCaps w:val="0"/>
          <w:strike w:val="0"/>
          <w:sz w:val="24"/>
          <w:u w:val="none"/>
        </w:rPr>
        <w:t xml:space="preserve">. Sui generis can’t incorporate western and customary law. Only amending the copyright act allows for indigenous autonomy and full copyright benefits. Recognizing culturally significant items as </w:t>
      </w:r>
      <w:r>
        <w:rPr>
          <w:b/>
          <w:i w:val="0"/>
          <w:smallCaps w:val="0"/>
          <w:strike w:val="0"/>
          <w:sz w:val="24"/>
          <w:u w:val="single"/>
        </w:rPr>
        <w:t xml:space="preserve">copyrightable </w:t>
      </w:r>
      <w:r>
        <w:rPr>
          <w:b/>
          <w:i w:val="0"/>
          <w:smallCaps w:val="0"/>
          <w:strike w:val="0"/>
          <w:sz w:val="24"/>
          <w:u w:val="none"/>
        </w:rPr>
        <w:t xml:space="preserve">is the only way to deter appropriation.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That’s 1AC </w:t>
      </w:r>
      <w:r>
        <w:rPr>
          <w:b w:val="0"/>
          <w:i w:val="0"/>
          <w:smallCaps w:val="0"/>
          <w:strike w:val="0"/>
          <w:sz w:val="24"/>
          <w:u w:val="none"/>
        </w:rPr>
        <w:t>S</w:t>
      </w:r>
      <w:r>
        <w:rPr>
          <w:b w:val="0"/>
          <w:i w:val="0"/>
          <w:smallCaps w:val="0"/>
          <w:strike w:val="0"/>
          <w:sz w:val="24"/>
          <w:u w:val="none"/>
        </w:rPr>
        <w:t xml:space="preserve">teffe. 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&lt;&lt;&lt;for reference&gt;&gt;&gt;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While sui generis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protections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address specific legal shortcomings, they merely accommodate customary law</w:t>
      </w:r>
      <w:r>
        <w:rPr>
          <w:b w:val="0"/>
          <w:i w:val="0"/>
          <w:smallCaps w:val="0"/>
          <w:strike w:val="0"/>
          <w:sz w:val="16"/>
          <w:highlight w:val="lightGray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Modifying the Copyright Act to incorporate, rather than separately address,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these legal concepts fully recognize the value of TCEs as copyrightable material.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 xml:space="preserve">Fusing concepts such as cultural patrimony into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fundamental tenants of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 xml:space="preserve">copyright law would allow for an expanded understanding of authorship, as TCEs often represent this same level of cultural significance such that the community the TCE represents effectively “authored” </w:t>
      </w:r>
      <w:r>
        <w:rPr>
          <w:b w:val="0"/>
          <w:i w:val="0"/>
          <w:smallCaps w:val="0"/>
          <w:strike w:val="0"/>
          <w:sz w:val="20"/>
          <w:u w:val="single"/>
        </w:rPr>
        <w:t>it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This new category of authorship must operate in a limited scope, only extending to a work with such cultural significance that it exists indivisible from its holder</w:t>
      </w:r>
      <w:r>
        <w:rPr>
          <w:b w:val="0"/>
          <w:i w:val="0"/>
          <w:smallCaps w:val="0"/>
          <w:strike w:val="0"/>
          <w:sz w:val="20"/>
          <w:u w:val="single"/>
        </w:rPr>
        <w:t>. Following the 10th Circuit’s lead in Corrow and taking note from Australian jurisprudence, judge-made law can begin the process of recognizing communal authorship in the United States.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current inability to identify an author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because of the differences in customary notions of authorship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leaves incredibly sacred Indigenous designs and garments entirely unprotected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By expanding the definition of authorship,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the Copyright Act can accommodate TCEs within the existing framework, and possessing a valid copyright allows for full enjoyment of the benefits granted by the Act</w:t>
      </w:r>
      <w:r>
        <w:rPr>
          <w:b w:val="0"/>
          <w:i w:val="0"/>
          <w:smallCaps w:val="0"/>
          <w:strike w:val="0"/>
          <w:sz w:val="20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as an economic monopoly and standing to bring suit for infringement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Indigenous communities will also have the autonomy to make decisions about licensing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exploiting their designs, options foreclosed to works existing in the public domain.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However, merely recognizing Indigenous designs as copyrightable only partially protects them from exploitation by mainstream fashion. To offer a wellrounded bundle of protections, the United States must explicitly recognize and enforce moral rights.</w:t>
      </w:r>
    </w:p>
    <w:p>
      <w:pPr>
        <w:pStyle w:val="Caption"/>
      </w:pPr>
      <w:r>
        <w:t>Source: Indigenous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