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Star Athletica</w:t>
      </w:r>
      <w:r>
        <w:rPr>
          <w:b/>
          <w:i w:val="0"/>
          <w:smallCaps w:val="0"/>
          <w:strike w:val="0"/>
          <w:sz w:val="24"/>
          <w:u w:val="none"/>
        </w:rPr>
        <w:t xml:space="preserve"> set the table for the aff. It represents broad protection, but was insufficient to solve “communal </w:t>
      </w:r>
      <w:r>
        <w:rPr>
          <w:b/>
          <w:i w:val="0"/>
          <w:smallCaps w:val="0"/>
          <w:strike w:val="0"/>
          <w:sz w:val="24"/>
          <w:u w:val="none"/>
        </w:rPr>
        <w:t>authorship</w:t>
      </w:r>
      <w:r>
        <w:rPr>
          <w:b/>
          <w:i w:val="0"/>
          <w:smallCaps w:val="0"/>
          <w:strike w:val="0"/>
          <w:sz w:val="24"/>
          <w:u w:val="none"/>
        </w:rPr>
        <w:t xml:space="preserve">”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Steffe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none"/>
        </w:rPr>
        <w:t>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(Luke Steffe, Indiana University Maurer School of Law, J.D. cum laude, Protection and Prevention: The Shortcomings of U.S. Copyright Law in Combatting Cultural Appropriation in the Fashion Industry, https://www.repository.law.indiana.edu/ipt/vol12/iss3/4/, IP Theory Vol. 12: Iss. 3, Article 4, Summer 2023---gm)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However, </w:t>
      </w:r>
      <w:r>
        <w:rPr>
          <w:b w:val="0"/>
          <w:i w:val="0"/>
          <w:smallCaps w:val="0"/>
          <w:strike w:val="0"/>
          <w:sz w:val="20"/>
          <w:u w:val="single"/>
        </w:rPr>
        <w:t>by expanding the concepts of what constitutes a valid copyright, Star Athletica now provides the framework to hold KTZ liable for infringement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upon a showing that the motifs could be separated from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parka's utilitarian functions and protected on their own. 105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Despite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parka itself representing a copyrightable object,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the Copyright Act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remains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restrictive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when considered in light 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customary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law and traditional notions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communal authorship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Thus, it presents hurdles to the protection of analogous Indigenous designs.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Star Athletica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exemplifies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benefits of utilizing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broad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legislative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interpretation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as a tool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provide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greater protections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lays the groundwork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 preventing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cultural appropriation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incorporating customary laws within the existing legislative framework by recognizing notions of communal authorship and strengthening moral rights.</w:t>
      </w:r>
    </w:p>
    <w:p>
      <w:pPr>
        <w:pStyle w:val="Caption"/>
      </w:pPr>
      <w:r>
        <w:t>Source: Indigenous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