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Black musical traditions can never meet legal requirements leaving material susceptible to theft – Empirics prove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Anjali </w:t>
      </w:r>
      <w:r>
        <w:rPr>
          <w:b/>
          <w:i w:val="0"/>
          <w:smallCaps w:val="0"/>
          <w:strike w:val="0"/>
          <w:sz w:val="26"/>
          <w:u w:val="none"/>
        </w:rPr>
        <w:t xml:space="preserve">Vats 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[Assistant Professor of Communication and African and African Diaspora Studies and Assistant Professor of Law at Boston College, The Routledge Companion to </w:t>
      </w:r>
      <w:r>
        <w:rPr>
          <w:b w:val="0"/>
          <w:i w:val="0"/>
          <w:smallCaps w:val="0"/>
          <w:strike w:val="0"/>
          <w:sz w:val="22"/>
          <w:u w:val="none"/>
        </w:rPr>
        <w:t>Intersectionalities</w:t>
      </w:r>
      <w:r>
        <w:rPr>
          <w:b w:val="0"/>
          <w:i w:val="0"/>
          <w:smallCaps w:val="0"/>
          <w:strike w:val="0"/>
          <w:sz w:val="22"/>
          <w:u w:val="none"/>
        </w:rPr>
        <w:t>, (2023), https://www.taylorfrancis.com/chapters/edit/10.4324/b23279-58/owning-masters-taylor-version-anjali-vats]//:0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idea-expression dichotomy refers to the legal fact that, per $102(b) of the Copyright Act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expression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ideas are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part due to the collection practices of folklorists, e.g., Alan Lomax,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musical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innovations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consistently been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treated as raw material for the taking</w:t>
      </w:r>
      <w:r>
        <w:rPr>
          <w:b w:val="0"/>
          <w:i w:val="0"/>
          <w:smallCaps w:val="0"/>
          <w:strike w:val="0"/>
          <w:sz w:val="22"/>
          <w:u w:val="single"/>
        </w:rPr>
        <w:t>, i.e., musical ideas outside of the scope of copyright law and not as tangible expressions deserving of copyright protection.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# For Lomax, the mere act of collecting music by pressing record on a tape machine justified credit ranging from arranger to composer on blues sound </w:t>
      </w:r>
      <w:r>
        <w:rPr>
          <w:b w:val="0"/>
          <w:i w:val="0"/>
          <w:smallCaps w:val="0"/>
          <w:strike w:val="0"/>
          <w:sz w:val="16"/>
          <w:u w:val="none"/>
        </w:rPr>
        <w:t>recordings.#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fixation requirement refers to the legal fact that $101 of the Copyright Act requires creative works to be "fixed in a tangible medium of expression" to be copyrightable.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musicians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built upon familiar aural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while being denied access to legal tools and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such as literacy and ownership, their artistic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works tended not to be fixed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tangible medium of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created a high bar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protection of rhythm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central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musical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they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de facto-privileged European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creatorial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cultures by centering melody and decentering beats</w:t>
      </w:r>
      <w:r>
        <w:rPr>
          <w:b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Even those Black creators who did fix their work in the tangible medium of the sound record-ins, as required by the Copyright Act, could not claim copyright protection until the 1970s.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They were then held to legal standards, including the Copyright Act's originality requirement, that </w:t>
      </w:r>
      <w:r>
        <w:rPr>
          <w:b w:val="0"/>
          <w:i w:val="0"/>
          <w:smallCaps w:val="0"/>
          <w:strike w:val="0"/>
          <w:sz w:val="16"/>
          <w:u w:val="none"/>
        </w:rPr>
        <w:t>ssneared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be racially neutral but produced inequitable outcomes.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Copyrighted 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statutorily required to be "original,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 a standard that the Supreme Court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interpreted to mean showing "a modicum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creativity</w:t>
      </w:r>
      <w:r>
        <w:rPr>
          <w:b w:val="0"/>
          <w:i w:val="0"/>
          <w:smallCaps w:val="0"/>
          <w:strike w:val="0"/>
          <w:sz w:val="16"/>
          <w:u w:val="none"/>
        </w:rPr>
        <w:t>.*</w:t>
      </w:r>
      <w:r>
        <w:rPr>
          <w:b w:val="0"/>
          <w:i w:val="0"/>
          <w:smallCaps w:val="0"/>
          <w:strike w:val="0"/>
          <w:sz w:val="16"/>
          <w:u w:val="none"/>
        </w:rPr>
        <w:t xml:space="preserve">6 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Yet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consistently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held to higher originality standards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their white counterparts, particularly where music is concerned</w:t>
      </w:r>
      <w:r>
        <w:rPr>
          <w:b w:val="0"/>
          <w:i w:val="0"/>
          <w:smallCaps w:val="0"/>
          <w:strike w:val="0"/>
          <w:sz w:val="16"/>
          <w:u w:val="none"/>
        </w:rPr>
        <w:t>.+7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American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 law has,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 a result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these three central legal requirements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substantively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facilitated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wholesale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theft of Black musical performances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partially or completely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without affording rights to attribution, compensation, accountability, or integrity.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top of this,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 law in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US rewards authors and 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abiding by a set of precise administrative formalities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claim the benefits of their limited monopolies.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