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absence of race in IP law leads to the normalization of knowledge as white and valuable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Anjali </w:t>
      </w:r>
      <w:r>
        <w:rPr>
          <w:b/>
          <w:i w:val="0"/>
          <w:smallCaps w:val="0"/>
          <w:strike w:val="0"/>
          <w:sz w:val="26"/>
          <w:u w:val="none"/>
        </w:rPr>
        <w:t xml:space="preserve">Vats </w:t>
      </w:r>
      <w:r>
        <w:rPr>
          <w:b w:val="0"/>
          <w:i w:val="0"/>
          <w:smallCaps w:val="0"/>
          <w:strike w:val="0"/>
          <w:sz w:val="22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 xml:space="preserve">21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[Assistant Professor of Communication and African and African Diaspora Studies and Assistant Professor of Law at Boston College, Temporality in a Time of Tam (2021), or Towards a Racial </w:t>
      </w:r>
      <w:r>
        <w:rPr>
          <w:b w:val="0"/>
          <w:i w:val="0"/>
          <w:smallCaps w:val="0"/>
          <w:strike w:val="0"/>
          <w:sz w:val="22"/>
          <w:u w:val="none"/>
        </w:rPr>
        <w:t>Chronopolitics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Intellectual Property Law, https://scholarship.law.pitt.edu/cgi/viewcontent.cgi?article=1554&amp;context=fac_articles]//:0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roperty’s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economic structure is ‘always already’ raced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,”42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because 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’s orientation to knowledge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 always already raced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Betsy Rosenblatt, for instance, demonstrates about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“it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rewards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materials perceived as primitive, raw, or ‘folk’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by purveyors of dominant culture, while punishing appropriation of materials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that it associates with higher 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views as already completed.</w:t>
      </w:r>
      <w:r>
        <w:rPr>
          <w:b w:val="0"/>
          <w:i w:val="0"/>
          <w:smallCaps w:val="0"/>
          <w:strike w:val="0"/>
          <w:sz w:val="16"/>
          <w:u w:val="none"/>
        </w:rPr>
        <w:t>”43 As such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copyright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operates as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“the language of the colonizer</w:t>
      </w:r>
      <w:r>
        <w:rPr>
          <w:b w:val="0"/>
          <w:i w:val="0"/>
          <w:smallCaps w:val="0"/>
          <w:strike w:val="0"/>
          <w:sz w:val="16"/>
          <w:u w:val="none"/>
        </w:rPr>
        <w:t>.”44 Kara Swanson similarly shows about patent law that its “</w:t>
      </w:r>
      <w:r>
        <w:rPr>
          <w:b w:val="0"/>
          <w:i w:val="0"/>
          <w:smallCaps w:val="0"/>
          <w:strike w:val="0"/>
          <w:sz w:val="22"/>
          <w:u w:val="single"/>
        </w:rPr>
        <w:t>ideology of slavery reached into the technical bureaucracy of the patent office, an arena of law and of the administrative state frequently considered outside politics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.”45 As such,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patent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implicates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ultimate claim of whiteness as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.”46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both instances, is ordered in a manner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centers whiteness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its attendant estimations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 the value of creation and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Trademark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produces and entrenches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visual economies of whiteness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Rosemary Coombe writes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trademarks “denied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downplayed the cultural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ethnic differences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some ‘Americans’”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medium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consuming body and embodiment</w:t>
      </w:r>
      <w:r>
        <w:rPr>
          <w:b w:val="0"/>
          <w:i w:val="0"/>
          <w:smallCaps w:val="0"/>
          <w:strike w:val="0"/>
          <w:sz w:val="22"/>
          <w:u w:val="single"/>
        </w:rPr>
        <w:t>…of others whose claims to an American subjectivity were complicated by contemporary relations of subjugation.”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47 Put differently,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America’s visual culture, as constituted through trademark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law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constituted whiteness as valuable by objectifying people of color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One way that the “</w:t>
      </w:r>
      <w:r>
        <w:rPr>
          <w:b w:val="0"/>
          <w:i w:val="0"/>
          <w:smallCaps w:val="0"/>
          <w:strike w:val="0"/>
          <w:sz w:val="22"/>
          <w:u w:val="single"/>
        </w:rPr>
        <w:t>scopic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regime”48 of trademark law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operated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articulation of p</w:t>
      </w:r>
      <w:r>
        <w:rPr>
          <w:b w:val="0"/>
          <w:i w:val="0"/>
          <w:smallCaps w:val="0"/>
          <w:strike w:val="0"/>
          <w:sz w:val="22"/>
          <w:u w:val="single"/>
        </w:rPr>
        <w:t>eople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</w:t>
      </w:r>
      <w:r>
        <w:rPr>
          <w:b w:val="0"/>
          <w:i w:val="0"/>
          <w:smallCaps w:val="0"/>
          <w:strike w:val="0"/>
          <w:sz w:val="22"/>
          <w:u w:val="single"/>
        </w:rPr>
        <w:t>f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olor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 primitive</w:t>
      </w:r>
      <w:r>
        <w:rPr>
          <w:b w:val="0"/>
          <w:i w:val="0"/>
          <w:smallCaps w:val="0"/>
          <w:strike w:val="0"/>
          <w:sz w:val="22"/>
          <w:u w:val="single"/>
        </w:rPr>
        <w:t>, i.e. from a time past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Coombe puts it, in </w:t>
      </w:r>
      <w:r>
        <w:rPr>
          <w:b w:val="0"/>
          <w:i w:val="0"/>
          <w:smallCaps w:val="0"/>
          <w:strike w:val="0"/>
          <w:sz w:val="22"/>
          <w:u w:val="single"/>
        </w:rPr>
        <w:t>the late nineteenth and early twentieth centuries “we see preoccupation with the frontiers of civilization and the containment of the primitive.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”49 In the sections that follow, I explore how Harjo and Blackhorse not only reinforce temporally based race discrimination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portraying Native Americans as primitive but also illustrate how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manipulation of time through legal procedure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advantage certain litigants over others, with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considerable racial and colonial consequences</w:t>
      </w:r>
      <w:r>
        <w:rPr>
          <w:b w:val="0"/>
          <w:i w:val="0"/>
          <w:smallCaps w:val="0"/>
          <w:strike w:val="0"/>
          <w:sz w:val="16"/>
          <w:u w:val="none"/>
        </w:rPr>
        <w:t>.50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