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consensus of academic literature agrees that China is a status quo power---the frame of revisionism is hypocritically deployed against non-Western states despite a lack of evidence</w:t>
      </w:r>
    </w:p>
    <w:p>
      <w:pPr>
        <w:spacing w:after="80"/>
      </w:pPr>
      <w:r>
        <w:rPr>
          <w:b/>
          <w:i w:val="0"/>
          <w:smallCaps w:val="0"/>
          <w:strike w:val="0"/>
          <w:sz w:val="26"/>
          <w:u w:val="none"/>
        </w:rPr>
        <w:t>Turner and Nymalm 19</w:t>
      </w:r>
      <w:r>
        <w:rPr>
          <w:b w:val="0"/>
          <w:i w:val="0"/>
          <w:smallCaps w:val="0"/>
          <w:strike w:val="0"/>
          <w:u w:val="none"/>
        </w:rPr>
        <w:t xml:space="preserve"> , Senior Lecturer in International Relations at the University of Edinburgh</w:t>
      </w:r>
      <w:r>
        <w:rPr>
          <w:b w:val="0"/>
          <w:i w:val="0"/>
          <w:smallCaps w:val="0"/>
          <w:strike w:val="0"/>
          <w:u w:val="none"/>
        </w:rPr>
        <w:t xml:space="preserve"> AND Associate Research Fellow at the Swedish Institute of International Affairs</w:t>
      </w:r>
      <w:r>
        <w:rPr>
          <w:b w:val="0"/>
          <w:i w:val="0"/>
          <w:smallCaps w:val="0"/>
          <w:strike w:val="0"/>
          <w:u w:val="none"/>
        </w:rPr>
        <w:t xml:space="preserve"> </w:t>
      </w:r>
      <w:r>
        <w:rPr>
          <w:b w:val="0"/>
          <w:i w:val="0"/>
          <w:smallCaps w:val="0"/>
          <w:strike w:val="0"/>
          <w:u w:val="none"/>
        </w:rPr>
        <w:t xml:space="preserve">(Oliver and Nicola, 2019, “Morality and progress: IR narratives on international revisionism and the status quo,” </w:t>
      </w:r>
      <w:r>
        <w:rPr>
          <w:b w:val="0"/>
          <w:i/>
          <w:smallCaps w:val="0"/>
          <w:strike w:val="0"/>
          <w:u w:val="none"/>
        </w:rPr>
        <w:t>Cambridge Review of International Affairs</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 Date Accessed: 8/10/2023)</w:t>
      </w:r>
    </w:p>
    <w:p>
      <w:pPr>
        <w:spacing w:after="60"/>
      </w:pPr>
      <w:r>
        <w:rPr>
          <w:b w:val="0"/>
          <w:i w:val="0"/>
          <w:smallCaps w:val="0"/>
          <w:strike w:val="0"/>
          <w:u w:val="none"/>
        </w:rPr>
        <w:t>‘</w:t>
      </w:r>
      <w:r>
        <w:rPr>
          <w:b w:val="0"/>
          <w:i w:val="0"/>
          <w:smallCaps w:val="0"/>
          <w:strike w:val="0"/>
          <w:sz w:val="22"/>
          <w:u w:val="single"/>
        </w:rPr>
        <w:t>Rising’ China attracts</w:t>
      </w:r>
      <w:r>
        <w:rPr>
          <w:b w:val="0"/>
          <w:i w:val="0"/>
          <w:smallCaps w:val="0"/>
          <w:strike w:val="0"/>
          <w:u w:val="none"/>
        </w:rPr>
        <w:t xml:space="preserve"> notable </w:t>
      </w:r>
      <w:r>
        <w:rPr>
          <w:b w:val="0"/>
          <w:i w:val="0"/>
          <w:smallCaps w:val="0"/>
          <w:strike w:val="0"/>
          <w:sz w:val="22"/>
          <w:u w:val="single"/>
        </w:rPr>
        <w:t>attention within</w:t>
      </w:r>
      <w:r>
        <w:rPr>
          <w:b w:val="0"/>
          <w:i w:val="0"/>
          <w:smallCaps w:val="0"/>
          <w:strike w:val="0"/>
          <w:u w:val="none"/>
        </w:rPr>
        <w:t xml:space="preserve"> the relevant international relations (</w:t>
      </w:r>
      <w:r>
        <w:rPr>
          <w:b w:val="0"/>
          <w:i w:val="0"/>
          <w:smallCaps w:val="0"/>
          <w:strike w:val="0"/>
          <w:sz w:val="22"/>
          <w:u w:val="single"/>
        </w:rPr>
        <w:t>IR</w:t>
      </w:r>
      <w:r>
        <w:rPr>
          <w:b w:val="0"/>
          <w:i w:val="0"/>
          <w:smallCaps w:val="0"/>
          <w:strike w:val="0"/>
          <w:u w:val="none"/>
        </w:rPr>
        <w:t xml:space="preserve">) </w:t>
      </w:r>
      <w:r>
        <w:rPr>
          <w:b w:val="0"/>
          <w:i w:val="0"/>
          <w:smallCaps w:val="0"/>
          <w:strike w:val="0"/>
          <w:sz w:val="22"/>
          <w:u w:val="single"/>
        </w:rPr>
        <w:t>literature today</w:t>
      </w:r>
      <w:r>
        <w:rPr>
          <w:b w:val="0"/>
          <w:i w:val="0"/>
          <w:smallCaps w:val="0"/>
          <w:strike w:val="0"/>
          <w:u w:val="none"/>
        </w:rPr>
        <w:t xml:space="preserve">, </w:t>
      </w:r>
      <w:r>
        <w:rPr>
          <w:b w:val="0"/>
          <w:i w:val="0"/>
          <w:smallCaps w:val="0"/>
          <w:strike w:val="0"/>
          <w:sz w:val="22"/>
          <w:u w:val="single"/>
        </w:rPr>
        <w:t>and among those who</w:t>
      </w:r>
      <w:r>
        <w:rPr>
          <w:b w:val="0"/>
          <w:i w:val="0"/>
          <w:smallCaps w:val="0"/>
          <w:strike w:val="0"/>
          <w:u w:val="none"/>
        </w:rPr>
        <w:t xml:space="preserve"> directly </w:t>
      </w:r>
      <w:r>
        <w:rPr>
          <w:b w:val="0"/>
          <w:i w:val="0"/>
          <w:smallCaps w:val="0"/>
          <w:strike w:val="0"/>
          <w:sz w:val="22"/>
          <w:u w:val="single"/>
        </w:rPr>
        <w:t>examine whether it is a revisionist or</w:t>
      </w:r>
      <w:r>
        <w:rPr>
          <w:b w:val="0"/>
          <w:i w:val="0"/>
          <w:smallCaps w:val="0"/>
          <w:strike w:val="0"/>
          <w:u w:val="none"/>
        </w:rPr>
        <w:t xml:space="preserve"> </w:t>
      </w:r>
      <w:r>
        <w:rPr>
          <w:b w:val="0"/>
          <w:i w:val="0"/>
          <w:smallCaps w:val="0"/>
          <w:strike w:val="0"/>
          <w:sz w:val="22"/>
          <w:u w:val="single"/>
        </w:rPr>
        <w:t>status quo actor</w:t>
      </w:r>
      <w:r>
        <w:rPr>
          <w:b w:val="0"/>
          <w:i w:val="0"/>
          <w:smallCaps w:val="0"/>
          <w:strike w:val="0"/>
          <w:u w:val="none"/>
        </w:rPr>
        <w:t xml:space="preserve">, </w:t>
      </w:r>
      <w:r>
        <w:rPr>
          <w:b/>
          <w:i w:val="0"/>
          <w:smallCaps w:val="0"/>
          <w:strike w:val="0"/>
          <w:sz w:val="22"/>
          <w:u w:val="single"/>
        </w:rPr>
        <w:t>most agree that it more closely resembles the latter</w:t>
      </w:r>
      <w:r>
        <w:rPr>
          <w:b w:val="0"/>
          <w:i w:val="0"/>
          <w:smallCaps w:val="0"/>
          <w:strike w:val="0"/>
          <w:u w:val="none"/>
        </w:rPr>
        <w:t xml:space="preserve"> (for example, Johnston 2003; Davidson 2006; Ding 2010; Ikenberry 2011; Xiao 2015; Wilson 2017). Zhao (2018, 2) rejects the ‘status quo’ designation, but still argues that ‘it is not a revolutionary power discontented with and ready to replace the order’. Some </w:t>
      </w:r>
      <w:r>
        <w:rPr>
          <w:b w:val="0"/>
          <w:i w:val="0"/>
          <w:smallCaps w:val="0"/>
          <w:strike w:val="0"/>
          <w:sz w:val="22"/>
          <w:u w:val="single"/>
        </w:rPr>
        <w:t>scholars</w:t>
      </w:r>
      <w:r>
        <w:rPr>
          <w:b w:val="0"/>
          <w:i w:val="0"/>
          <w:smallCaps w:val="0"/>
          <w:strike w:val="0"/>
          <w:u w:val="none"/>
        </w:rPr>
        <w:t xml:space="preserve"> also </w:t>
      </w:r>
      <w:r>
        <w:rPr>
          <w:b w:val="0"/>
          <w:i w:val="0"/>
          <w:smallCaps w:val="0"/>
          <w:strike w:val="0"/>
          <w:sz w:val="22"/>
          <w:u w:val="single"/>
        </w:rPr>
        <w:t>critique IR theory for being overly deterministic</w:t>
      </w:r>
      <w:r>
        <w:rPr>
          <w:b w:val="0"/>
          <w:i w:val="0"/>
          <w:smallCaps w:val="0"/>
          <w:strike w:val="0"/>
          <w:u w:val="none"/>
        </w:rPr>
        <w:t xml:space="preserve"> and materialistic, </w:t>
      </w:r>
      <w:r>
        <w:rPr>
          <w:b w:val="0"/>
          <w:i w:val="0"/>
          <w:smallCaps w:val="0"/>
          <w:strike w:val="0"/>
          <w:sz w:val="22"/>
          <w:u w:val="single"/>
        </w:rPr>
        <w:t>taking for granted that rising powers will challenge the status quo</w:t>
      </w:r>
      <w:r>
        <w:rPr>
          <w:b w:val="0"/>
          <w:i w:val="0"/>
          <w:smallCaps w:val="0"/>
          <w:strike w:val="0"/>
          <w:u w:val="none"/>
        </w:rPr>
        <w:t xml:space="preserve"> (Thies and Nieman 2017, 2; Ward 2017, 281; Gries and Jing 2019). Often overlooked, they argue, is how ‘ideational factors’, such as socialization (Thies and Nieman 2017, 3, 15) and perceptions of status (Ward 2017) affect behaviour. </w:t>
      </w:r>
      <w:r>
        <w:rPr>
          <w:b w:val="0"/>
          <w:i w:val="0"/>
          <w:smallCaps w:val="0"/>
          <w:strike w:val="0"/>
          <w:sz w:val="22"/>
          <w:u w:val="single"/>
        </w:rPr>
        <w:t>Despite this</w:t>
      </w:r>
      <w:r>
        <w:rPr>
          <w:b w:val="0"/>
          <w:i w:val="0"/>
          <w:smallCaps w:val="0"/>
          <w:strike w:val="0"/>
          <w:u w:val="none"/>
        </w:rPr>
        <w:t xml:space="preserve"> emerging </w:t>
      </w:r>
      <w:r>
        <w:rPr>
          <w:b w:val="0"/>
          <w:i w:val="0"/>
          <w:smallCaps w:val="0"/>
          <w:strike w:val="0"/>
          <w:sz w:val="22"/>
          <w:u w:val="single"/>
        </w:rPr>
        <w:t>critique</w:t>
      </w:r>
      <w:r>
        <w:rPr>
          <w:b w:val="0"/>
          <w:i w:val="0"/>
          <w:smallCaps w:val="0"/>
          <w:strike w:val="0"/>
          <w:u w:val="none"/>
        </w:rPr>
        <w:t xml:space="preserve">, however, </w:t>
      </w:r>
      <w:r>
        <w:rPr>
          <w:b w:val="0"/>
          <w:i w:val="0"/>
          <w:smallCaps w:val="0"/>
          <w:strike w:val="0"/>
          <w:sz w:val="22"/>
          <w:u w:val="single"/>
        </w:rPr>
        <w:t>the spotlight of scholarly and popular attention</w:t>
      </w:r>
      <w:r>
        <w:rPr>
          <w:b w:val="0"/>
          <w:i w:val="0"/>
          <w:smallCaps w:val="0"/>
          <w:strike w:val="0"/>
          <w:u w:val="none"/>
        </w:rPr>
        <w:t xml:space="preserve"> continues to </w:t>
      </w:r>
      <w:r>
        <w:rPr>
          <w:b w:val="0"/>
          <w:i w:val="0"/>
          <w:smallCaps w:val="0"/>
          <w:strike w:val="0"/>
          <w:sz w:val="22"/>
          <w:u w:val="single"/>
        </w:rPr>
        <w:t>fall upon China</w:t>
      </w:r>
      <w:r>
        <w:rPr>
          <w:b w:val="0"/>
          <w:i w:val="0"/>
          <w:smallCaps w:val="0"/>
          <w:strike w:val="0"/>
          <w:u w:val="none"/>
        </w:rPr>
        <w:t>—</w:t>
      </w:r>
      <w:r>
        <w:rPr>
          <w:b w:val="0"/>
          <w:i w:val="0"/>
          <w:smallCaps w:val="0"/>
          <w:strike w:val="0"/>
          <w:sz w:val="22"/>
          <w:u w:val="single"/>
        </w:rPr>
        <w:t>and other ‘rising powers’</w:t>
      </w:r>
      <w:r>
        <w:rPr>
          <w:b w:val="0"/>
          <w:i w:val="0"/>
          <w:smallCaps w:val="0"/>
          <w:strike w:val="0"/>
          <w:u w:val="none"/>
        </w:rPr>
        <w:t xml:space="preserve">— </w:t>
      </w:r>
      <w:r>
        <w:rPr>
          <w:b w:val="0"/>
          <w:i w:val="0"/>
          <w:smallCaps w:val="0"/>
          <w:strike w:val="0"/>
          <w:sz w:val="22"/>
          <w:u w:val="single"/>
        </w:rPr>
        <w:t>as a</w:t>
      </w:r>
      <w:r>
        <w:rPr>
          <w:b w:val="0"/>
          <w:i w:val="0"/>
          <w:smallCaps w:val="0"/>
          <w:strike w:val="0"/>
          <w:u w:val="none"/>
        </w:rPr>
        <w:t xml:space="preserve"> real or potential </w:t>
      </w:r>
      <w:r>
        <w:rPr>
          <w:b w:val="0"/>
          <w:i w:val="0"/>
          <w:smallCaps w:val="0"/>
          <w:strike w:val="0"/>
          <w:sz w:val="22"/>
          <w:u w:val="single"/>
        </w:rPr>
        <w:t>source of international revisionism</w:t>
      </w:r>
      <w:r>
        <w:rPr>
          <w:b w:val="0"/>
          <w:i w:val="0"/>
          <w:smallCaps w:val="0"/>
          <w:strike w:val="0"/>
          <w:u w:val="none"/>
        </w:rPr>
        <w:t xml:space="preserve">. </w:t>
      </w:r>
      <w:r>
        <w:rPr>
          <w:b/>
          <w:i w:val="0"/>
          <w:smallCaps w:val="0"/>
          <w:strike w:val="0"/>
          <w:sz w:val="22"/>
          <w:u w:val="single"/>
        </w:rPr>
        <w:t>China</w:t>
      </w:r>
      <w:r>
        <w:rPr>
          <w:b w:val="0"/>
          <w:i w:val="0"/>
          <w:smallCaps w:val="0"/>
          <w:strike w:val="0"/>
          <w:u w:val="none"/>
        </w:rPr>
        <w:t xml:space="preserve">, in short, </w:t>
      </w:r>
      <w:r>
        <w:rPr>
          <w:b/>
          <w:i w:val="0"/>
          <w:smallCaps w:val="0"/>
          <w:strike w:val="0"/>
          <w:sz w:val="22"/>
          <w:u w:val="single"/>
        </w:rPr>
        <w:t>is regarded as guilty until proven innocent</w:t>
      </w:r>
      <w:r>
        <w:rPr>
          <w:b w:val="0"/>
          <w:i w:val="0"/>
          <w:smallCaps w:val="0"/>
          <w:strike w:val="0"/>
          <w:u w:val="none"/>
        </w:rPr>
        <w:t xml:space="preserve"> (Turner 2014, 154) </w:t>
      </w:r>
      <w:r>
        <w:rPr>
          <w:b w:val="0"/>
          <w:i w:val="0"/>
          <w:smallCaps w:val="0"/>
          <w:strike w:val="0"/>
          <w:sz w:val="22"/>
          <w:u w:val="single"/>
        </w:rPr>
        <w:t>regardless of</w:t>
      </w:r>
      <w:r>
        <w:rPr>
          <w:b w:val="0"/>
          <w:i w:val="0"/>
          <w:smallCaps w:val="0"/>
          <w:strike w:val="0"/>
          <w:u w:val="none"/>
        </w:rPr>
        <w:t xml:space="preserve"> stated </w:t>
      </w:r>
      <w:r>
        <w:rPr>
          <w:b w:val="0"/>
          <w:i w:val="0"/>
          <w:smallCaps w:val="0"/>
          <w:strike w:val="0"/>
          <w:sz w:val="22"/>
          <w:u w:val="single"/>
        </w:rPr>
        <w:t>evidence to the contrary</w:t>
      </w:r>
      <w:r>
        <w:rPr>
          <w:b w:val="0"/>
          <w:i w:val="0"/>
          <w:smallCaps w:val="0"/>
          <w:strike w:val="0"/>
          <w:u w:val="none"/>
        </w:rPr>
        <w:t xml:space="preserve"> by scholars such as those identified above. Meanwhile, </w:t>
      </w:r>
      <w:r>
        <w:rPr>
          <w:b w:val="0"/>
          <w:i w:val="0"/>
          <w:smallCaps w:val="0"/>
          <w:strike w:val="0"/>
          <w:sz w:val="22"/>
          <w:u w:val="single"/>
        </w:rPr>
        <w:t>attention to Western revisionism</w:t>
      </w:r>
      <w:r>
        <w:rPr>
          <w:b w:val="0"/>
          <w:i w:val="0"/>
          <w:smallCaps w:val="0"/>
          <w:strike w:val="0"/>
          <w:u w:val="none"/>
        </w:rPr>
        <w:t xml:space="preserve"> in particular </w:t>
      </w:r>
      <w:r>
        <w:rPr>
          <w:b w:val="0"/>
          <w:i w:val="0"/>
          <w:smallCaps w:val="0"/>
          <w:strike w:val="0"/>
          <w:sz w:val="22"/>
          <w:u w:val="single"/>
        </w:rPr>
        <w:t>remains more limited</w:t>
      </w:r>
      <w:r>
        <w:rPr>
          <w:b w:val="0"/>
          <w:i w:val="0"/>
          <w:smallCaps w:val="0"/>
          <w:strike w:val="0"/>
          <w:u w:val="none"/>
        </w:rPr>
        <w:t xml:space="preserve">, </w:t>
      </w:r>
      <w:r>
        <w:rPr>
          <w:b w:val="0"/>
          <w:i w:val="0"/>
          <w:smallCaps w:val="0"/>
          <w:strike w:val="0"/>
          <w:sz w:val="22"/>
          <w:u w:val="single"/>
        </w:rPr>
        <w:t>despite scholars</w:t>
      </w:r>
      <w:r>
        <w:rPr>
          <w:b w:val="0"/>
          <w:i w:val="0"/>
          <w:smallCaps w:val="0"/>
          <w:strike w:val="0"/>
          <w:u w:val="none"/>
        </w:rPr>
        <w:t xml:space="preserve"> </w:t>
      </w:r>
      <w:r>
        <w:rPr>
          <w:b w:val="0"/>
          <w:i w:val="0"/>
          <w:smallCaps w:val="0"/>
          <w:strike w:val="0"/>
          <w:sz w:val="22"/>
          <w:u w:val="single"/>
        </w:rPr>
        <w:t>of the US and Europe outlining the actions and ambitions of these actors</w:t>
      </w:r>
      <w:r>
        <w:rPr>
          <w:b w:val="0"/>
          <w:i w:val="0"/>
          <w:smallCaps w:val="0"/>
          <w:strike w:val="0"/>
          <w:u w:val="none"/>
        </w:rPr>
        <w:t xml:space="preserve"> towards revising and reshaping the structures of global affairs. Consider for example </w:t>
      </w:r>
      <w:r>
        <w:rPr>
          <w:b w:val="0"/>
          <w:i w:val="0"/>
          <w:smallCaps w:val="0"/>
          <w:strike w:val="0"/>
          <w:u w:val="none"/>
        </w:rPr>
        <w:t>the</w:t>
      </w:r>
      <w:r>
        <w:rPr>
          <w:b w:val="0"/>
          <w:i w:val="0"/>
          <w:smallCaps w:val="0"/>
          <w:strike w:val="0"/>
          <w:u w:val="none"/>
        </w:rPr>
        <w:t xml:space="preserve"> European Union (</w:t>
      </w:r>
      <w:r>
        <w:rPr>
          <w:b w:val="0"/>
          <w:i w:val="0"/>
          <w:smallCaps w:val="0"/>
          <w:strike w:val="0"/>
          <w:u w:val="none"/>
        </w:rPr>
        <w:t>EU</w:t>
      </w:r>
      <w:r>
        <w:rPr>
          <w:b w:val="0"/>
          <w:i w:val="0"/>
          <w:smallCaps w:val="0"/>
          <w:strike w:val="0"/>
          <w:u w:val="none"/>
        </w:rPr>
        <w:t xml:space="preserve">), a core strength of which is said to lie in its designs ‘to reshape the contours of the international system’ (Rosecrance 1998, 15). </w:t>
      </w:r>
      <w:r>
        <w:rPr>
          <w:b w:val="0"/>
          <w:i w:val="0"/>
          <w:smallCaps w:val="0"/>
          <w:strike w:val="0"/>
          <w:sz w:val="22"/>
          <w:u w:val="single"/>
        </w:rPr>
        <w:t>Ian Manners</w:t>
      </w:r>
      <w:r>
        <w:rPr>
          <w:b w:val="0"/>
          <w:i w:val="0"/>
          <w:smallCaps w:val="0"/>
          <w:strike w:val="0"/>
          <w:u w:val="none"/>
        </w:rPr>
        <w:t xml:space="preserve"> (2002, 239) </w:t>
      </w:r>
      <w:r>
        <w:rPr>
          <w:b w:val="0"/>
          <w:i w:val="0"/>
          <w:smallCaps w:val="0"/>
          <w:strike w:val="0"/>
          <w:sz w:val="22"/>
          <w:u w:val="single"/>
        </w:rPr>
        <w:t>notes Brussels’s ‘willingness to</w:t>
      </w:r>
      <w:r>
        <w:rPr>
          <w:b w:val="0"/>
          <w:i w:val="0"/>
          <w:smallCaps w:val="0"/>
          <w:strike w:val="0"/>
          <w:u w:val="none"/>
        </w:rPr>
        <w:t xml:space="preserve"> </w:t>
      </w:r>
      <w:r>
        <w:rPr>
          <w:b w:val="0"/>
          <w:i w:val="0"/>
          <w:smallCaps w:val="0"/>
          <w:strike w:val="0"/>
          <w:sz w:val="22"/>
          <w:u w:val="single"/>
        </w:rPr>
        <w:t>disregard Westphalian conventions’</w:t>
      </w:r>
      <w:r>
        <w:rPr>
          <w:b w:val="0"/>
          <w:i w:val="0"/>
          <w:smallCaps w:val="0"/>
          <w:strike w:val="0"/>
          <w:u w:val="none"/>
        </w:rPr>
        <w:t xml:space="preserve"> in its efforts ‘</w:t>
      </w:r>
      <w:r>
        <w:rPr>
          <w:b w:val="0"/>
          <w:i w:val="0"/>
          <w:smallCaps w:val="0"/>
          <w:strike w:val="0"/>
          <w:sz w:val="22"/>
          <w:u w:val="single"/>
        </w:rPr>
        <w:t>to shape conceptions of “normal” in international relations’</w:t>
      </w:r>
      <w:r>
        <w:rPr>
          <w:b w:val="0"/>
          <w:i w:val="0"/>
          <w:smallCaps w:val="0"/>
          <w:strike w:val="0"/>
          <w:u w:val="none"/>
        </w:rPr>
        <w:t xml:space="preserve">. Indeed, </w:t>
      </w:r>
      <w:r>
        <w:rPr>
          <w:b/>
          <w:i w:val="0"/>
          <w:smallCaps w:val="0"/>
          <w:strike w:val="0"/>
          <w:sz w:val="22"/>
          <w:u w:val="single"/>
        </w:rPr>
        <w:t>the EU fulfils most of the criteria for revisionism</w:t>
      </w:r>
      <w:r>
        <w:rPr>
          <w:b w:val="0"/>
          <w:i w:val="0"/>
          <w:smallCaps w:val="0"/>
          <w:strike w:val="0"/>
          <w:u w:val="none"/>
        </w:rPr>
        <w:t xml:space="preserve"> suggested by Davidson (2006), for example </w:t>
      </w:r>
      <w:r>
        <w:rPr>
          <w:b w:val="0"/>
          <w:i w:val="0"/>
          <w:smallCaps w:val="0"/>
          <w:strike w:val="0"/>
          <w:sz w:val="22"/>
          <w:u w:val="single"/>
        </w:rPr>
        <w:t>by significantly expanding its territorial reach from six member states</w:t>
      </w:r>
      <w:r>
        <w:rPr>
          <w:b w:val="0"/>
          <w:i w:val="0"/>
          <w:smallCaps w:val="0"/>
          <w:strike w:val="0"/>
          <w:u w:val="none"/>
        </w:rPr>
        <w:t xml:space="preserve"> in 1951 </w:t>
      </w:r>
      <w:r>
        <w:rPr>
          <w:b w:val="0"/>
          <w:i w:val="0"/>
          <w:smallCaps w:val="0"/>
          <w:strike w:val="0"/>
          <w:sz w:val="22"/>
          <w:u w:val="single"/>
        </w:rPr>
        <w:t>to 28 today</w:t>
      </w:r>
      <w:r>
        <w:rPr>
          <w:b w:val="0"/>
          <w:i w:val="0"/>
          <w:smallCaps w:val="0"/>
          <w:strike w:val="0"/>
          <w:u w:val="none"/>
        </w:rPr>
        <w:t xml:space="preserve">;1 </w:t>
      </w:r>
      <w:r>
        <w:rPr>
          <w:b w:val="0"/>
          <w:i w:val="0"/>
          <w:smallCaps w:val="0"/>
          <w:strike w:val="0"/>
          <w:sz w:val="22"/>
          <w:u w:val="single"/>
        </w:rPr>
        <w:t>transforming Europe’s markets</w:t>
      </w:r>
      <w:r>
        <w:rPr>
          <w:b w:val="0"/>
          <w:i w:val="0"/>
          <w:smallCaps w:val="0"/>
          <w:strike w:val="0"/>
          <w:u w:val="none"/>
        </w:rPr>
        <w:t xml:space="preserve"> </w:t>
      </w:r>
      <w:r>
        <w:rPr>
          <w:b w:val="0"/>
          <w:i w:val="0"/>
          <w:smallCaps w:val="0"/>
          <w:strike w:val="0"/>
          <w:u w:val="none"/>
        </w:rPr>
        <w:t>and acting as a global ‘market power’ that ‘actively</w:t>
      </w:r>
      <w:r>
        <w:rPr>
          <w:b w:val="0"/>
          <w:i w:val="0"/>
          <w:smallCaps w:val="0"/>
          <w:strike w:val="0"/>
          <w:u w:val="none"/>
        </w:rPr>
        <w:t xml:space="preserve"> and consequentially influences today’s international system’ (Damro 2012, 697); </w:t>
      </w:r>
      <w:r>
        <w:rPr>
          <w:b w:val="0"/>
          <w:i w:val="0"/>
          <w:smallCaps w:val="0"/>
          <w:strike w:val="0"/>
          <w:sz w:val="22"/>
          <w:u w:val="single"/>
        </w:rPr>
        <w:t>and</w:t>
      </w:r>
      <w:r>
        <w:rPr>
          <w:b w:val="0"/>
          <w:i w:val="0"/>
          <w:smallCaps w:val="0"/>
          <w:strike w:val="0"/>
          <w:u w:val="none"/>
        </w:rPr>
        <w:t xml:space="preserve"> </w:t>
      </w:r>
      <w:r>
        <w:rPr>
          <w:b w:val="0"/>
          <w:i w:val="0"/>
          <w:smallCaps w:val="0"/>
          <w:strike w:val="0"/>
          <w:sz w:val="22"/>
          <w:u w:val="single"/>
        </w:rPr>
        <w:t>exporting its ideology via</w:t>
      </w:r>
      <w:r>
        <w:rPr>
          <w:b w:val="0"/>
          <w:i w:val="0"/>
          <w:smallCaps w:val="0"/>
          <w:strike w:val="0"/>
          <w:u w:val="none"/>
        </w:rPr>
        <w:t xml:space="preserve"> </w:t>
      </w:r>
      <w:r>
        <w:rPr>
          <w:b w:val="0"/>
          <w:i w:val="0"/>
          <w:smallCaps w:val="0"/>
          <w:strike w:val="0"/>
          <w:sz w:val="22"/>
          <w:u w:val="single"/>
        </w:rPr>
        <w:t>particular understandings of democracy, human rights and so on</w:t>
      </w:r>
      <w:r>
        <w:rPr>
          <w:b w:val="0"/>
          <w:i w:val="0"/>
          <w:smallCaps w:val="0"/>
          <w:strike w:val="0"/>
          <w:u w:val="none"/>
        </w:rPr>
        <w:t xml:space="preserve">, acting as a ‘normative power’ (Merlingen 2007) or a ‘norm entrepreneur’ (Vadura 2015). In line with earlier definitions of revisionist powers, which centred around power accumulation, the EU has also elevated itself to ‘the status of emerging global power’ (Piening 1997) or even ‘superpower’ (Moravcsik 2014). </w:t>
      </w:r>
      <w:r>
        <w:rPr>
          <w:b/>
          <w:i w:val="0"/>
          <w:smallCaps w:val="0"/>
          <w:strike w:val="0"/>
          <w:sz w:val="22"/>
          <w:u w:val="single"/>
        </w:rPr>
        <w:t>Despite all this the EU has rarely</w:t>
      </w:r>
      <w:r>
        <w:rPr>
          <w:b w:val="0"/>
          <w:i w:val="0"/>
          <w:smallCaps w:val="0"/>
          <w:strike w:val="0"/>
          <w:u w:val="none"/>
        </w:rPr>
        <w:t xml:space="preserve">, if ever, </w:t>
      </w:r>
      <w:r>
        <w:rPr>
          <w:b/>
          <w:i w:val="0"/>
          <w:smallCaps w:val="0"/>
          <w:strike w:val="0"/>
          <w:sz w:val="22"/>
          <w:u w:val="single"/>
        </w:rPr>
        <w:t>been labelled revisionist</w:t>
      </w:r>
      <w:r>
        <w:rPr>
          <w:b w:val="0"/>
          <w:i w:val="0"/>
          <w:smallCaps w:val="0"/>
          <w:strike w:val="0"/>
          <w:u w:val="none"/>
        </w:rPr>
        <w:t xml:space="preserve">. </w:t>
      </w:r>
      <w:r>
        <w:rPr>
          <w:b w:val="0"/>
          <w:i w:val="0"/>
          <w:smallCaps w:val="0"/>
          <w:strike w:val="0"/>
          <w:sz w:val="22"/>
          <w:u w:val="single"/>
        </w:rPr>
        <w:t>The US</w:t>
      </w:r>
      <w:r>
        <w:rPr>
          <w:b w:val="0"/>
          <w:i w:val="0"/>
          <w:smallCaps w:val="0"/>
          <w:strike w:val="0"/>
          <w:u w:val="none"/>
        </w:rPr>
        <w:t xml:space="preserve"> today </w:t>
      </w:r>
      <w:r>
        <w:rPr>
          <w:b w:val="0"/>
          <w:i w:val="0"/>
          <w:smallCaps w:val="0"/>
          <w:strike w:val="0"/>
          <w:sz w:val="22"/>
          <w:u w:val="single"/>
        </w:rPr>
        <w:t>is deemed revisionist by</w:t>
      </w:r>
      <w:r>
        <w:rPr>
          <w:b w:val="0"/>
          <w:i w:val="0"/>
          <w:smallCaps w:val="0"/>
          <w:strike w:val="0"/>
          <w:u w:val="none"/>
        </w:rPr>
        <w:t xml:space="preserve"> </w:t>
      </w:r>
      <w:r>
        <w:rPr>
          <w:b w:val="0"/>
          <w:i w:val="0"/>
          <w:smallCaps w:val="0"/>
          <w:strike w:val="0"/>
          <w:sz w:val="22"/>
          <w:u w:val="single"/>
        </w:rPr>
        <w:t>some</w:t>
      </w:r>
      <w:r>
        <w:rPr>
          <w:b w:val="0"/>
          <w:i w:val="0"/>
          <w:smallCaps w:val="0"/>
          <w:strike w:val="0"/>
          <w:u w:val="none"/>
        </w:rPr>
        <w:t xml:space="preserve">, </w:t>
      </w:r>
      <w:r>
        <w:rPr>
          <w:b w:val="0"/>
          <w:i w:val="0"/>
          <w:smallCaps w:val="0"/>
          <w:strike w:val="0"/>
          <w:sz w:val="22"/>
          <w:u w:val="single"/>
        </w:rPr>
        <w:t>though primarily</w:t>
      </w:r>
      <w:r>
        <w:rPr>
          <w:b w:val="0"/>
          <w:i w:val="0"/>
          <w:smallCaps w:val="0"/>
          <w:strike w:val="0"/>
          <w:u w:val="none"/>
        </w:rPr>
        <w:t xml:space="preserve"> as </w:t>
      </w:r>
      <w:r>
        <w:rPr>
          <w:b w:val="0"/>
          <w:i w:val="0"/>
          <w:smallCaps w:val="0"/>
          <w:strike w:val="0"/>
          <w:sz w:val="22"/>
          <w:u w:val="single"/>
        </w:rPr>
        <w:t>resulting</w:t>
      </w:r>
      <w:r>
        <w:rPr>
          <w:b w:val="0"/>
          <w:i w:val="0"/>
          <w:smallCaps w:val="0"/>
          <w:strike w:val="0"/>
          <w:u w:val="none"/>
        </w:rPr>
        <w:t xml:space="preserve"> </w:t>
      </w:r>
      <w:r>
        <w:rPr>
          <w:b w:val="0"/>
          <w:i w:val="0"/>
          <w:smallCaps w:val="0"/>
          <w:strike w:val="0"/>
          <w:sz w:val="22"/>
          <w:u w:val="single"/>
        </w:rPr>
        <w:t>from</w:t>
      </w:r>
      <w:r>
        <w:rPr>
          <w:b w:val="0"/>
          <w:i w:val="0"/>
          <w:smallCaps w:val="0"/>
          <w:strike w:val="0"/>
          <w:u w:val="none"/>
        </w:rPr>
        <w:t xml:space="preserve"> the policies and worldviews of the administration of Donald </w:t>
      </w:r>
      <w:r>
        <w:rPr>
          <w:b w:val="0"/>
          <w:i w:val="0"/>
          <w:smallCaps w:val="0"/>
          <w:strike w:val="0"/>
          <w:sz w:val="22"/>
          <w:u w:val="single"/>
        </w:rPr>
        <w:t>Trump</w:t>
      </w:r>
      <w:r>
        <w:rPr>
          <w:b w:val="0"/>
          <w:i w:val="0"/>
          <w:smallCaps w:val="0"/>
          <w:strike w:val="0"/>
          <w:u w:val="none"/>
        </w:rPr>
        <w:t xml:space="preserve"> (for example, Ikenberry 2017). The same has been argued of the US under the administration of George W. Bush (see Xiang 2001; Hurd 2007). </w:t>
      </w:r>
      <w:r>
        <w:rPr>
          <w:b w:val="0"/>
          <w:i w:val="0"/>
          <w:smallCaps w:val="0"/>
          <w:strike w:val="0"/>
          <w:sz w:val="22"/>
          <w:u w:val="single"/>
        </w:rPr>
        <w:t>Such allowances for</w:t>
      </w:r>
      <w:r>
        <w:rPr>
          <w:b w:val="0"/>
          <w:i w:val="0"/>
          <w:smallCaps w:val="0"/>
          <w:strike w:val="0"/>
          <w:u w:val="none"/>
        </w:rPr>
        <w:t xml:space="preserve"> the role of isolated, ‘</w:t>
      </w:r>
      <w:r>
        <w:rPr>
          <w:b w:val="0"/>
          <w:i w:val="0"/>
          <w:smallCaps w:val="0"/>
          <w:strike w:val="0"/>
          <w:sz w:val="22"/>
          <w:u w:val="single"/>
        </w:rPr>
        <w:t>rogue’ administrations or individuals</w:t>
      </w:r>
      <w:r>
        <w:rPr>
          <w:b w:val="0"/>
          <w:i w:val="0"/>
          <w:smallCaps w:val="0"/>
          <w:strike w:val="0"/>
          <w:u w:val="none"/>
        </w:rPr>
        <w:t xml:space="preserve">, as deviations from imagined </w:t>
      </w:r>
      <w:r>
        <w:rPr>
          <w:b w:val="0"/>
          <w:i w:val="0"/>
          <w:smallCaps w:val="0"/>
          <w:strike w:val="0"/>
          <w:u w:val="none"/>
        </w:rPr>
        <w:t xml:space="preserve">national norms, </w:t>
      </w:r>
      <w:r>
        <w:rPr>
          <w:b w:val="0"/>
          <w:i w:val="0"/>
          <w:smallCaps w:val="0"/>
          <w:strike w:val="0"/>
          <w:sz w:val="22"/>
          <w:u w:val="single"/>
        </w:rPr>
        <w:t>are rarely</w:t>
      </w:r>
      <w:r>
        <w:rPr>
          <w:b w:val="0"/>
          <w:i w:val="0"/>
          <w:smallCaps w:val="0"/>
          <w:strike w:val="0"/>
          <w:u w:val="none"/>
        </w:rPr>
        <w:t xml:space="preserve">, if ever, </w:t>
      </w:r>
      <w:r>
        <w:rPr>
          <w:b w:val="0"/>
          <w:i w:val="0"/>
          <w:smallCaps w:val="0"/>
          <w:strike w:val="0"/>
          <w:sz w:val="22"/>
          <w:u w:val="single"/>
        </w:rPr>
        <w:t>extended to China</w:t>
      </w:r>
      <w:r>
        <w:rPr>
          <w:b w:val="0"/>
          <w:i w:val="0"/>
          <w:smallCaps w:val="0"/>
          <w:strike w:val="0"/>
          <w:u w:val="none"/>
        </w:rPr>
        <w:t xml:space="preserve"> and other ‘rising powers’. The notion of a hegemon or ‘established power’ on its own terms representing a primary disruptive force within the system it dominates is far less frequently considered (for example, Bukovansky 2016; Schweller 2015; Chan et al. 2018).</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