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Tyfield 10</w:t>
      </w:r>
    </w:p>
    <w:p>
      <w:pPr>
        <w:spacing w:after="80"/>
      </w:pPr>
      <w:r>
        <w:rPr>
          <w:b w:val="0"/>
          <w:i w:val="0"/>
          <w:smallCaps w:val="0"/>
          <w:strike w:val="0"/>
          <w:u w:val="none"/>
        </w:rPr>
        <w:t>(</w:t>
      </w:r>
      <w:r>
        <w:rPr>
          <w:b w:val="0"/>
          <w:i w:val="0"/>
          <w:smallCaps w:val="0"/>
          <w:strike w:val="0"/>
          <w:u w:val="none"/>
        </w:rPr>
        <w:t>DAVID TYFIELD</w:t>
      </w:r>
      <w:r>
        <w:rPr>
          <w:b w:val="0"/>
          <w:i w:val="0"/>
          <w:smallCaps w:val="0"/>
          <w:strike w:val="0"/>
          <w:u w:val="none"/>
        </w:rPr>
        <w:t xml:space="preserve"> (</w:t>
      </w:r>
      <w:r>
        <w:rPr>
          <w:b w:val="0"/>
          <w:i w:val="0"/>
          <w:smallCaps w:val="0"/>
          <w:strike w:val="0"/>
          <w:u w:val="none"/>
        </w:rPr>
        <w:t>Professor in Sustainable Transitions and Political Economy at the Lancaster Environment Centre and Associate Director of Lancaster’s Centre for Mobilities Research (CeMoRe).  He is also Research Theme lead for LEC for the 'Science for the Anthropocene'</w:t>
      </w:r>
      <w:r>
        <w:rPr>
          <w:b w:val="0"/>
          <w:i w:val="0"/>
          <w:smallCaps w:val="0"/>
          <w:strike w:val="0"/>
          <w:u w:val="none"/>
        </w:rPr>
        <w:t>), “Neoliberalism, Intellectual Property and the Global Knowledge Economy,” The Rise and Fall of Neoliberalism : The Collapse of an Economic Order?, Bloomsbury Academic &amp; Professional, 2010. DOI:</w:t>
      </w:r>
      <w:r>
        <w:rPr>
          <w:b w:val="0"/>
          <w:i w:val="0"/>
          <w:smallCaps w:val="0"/>
          <w:strike w:val="0"/>
          <w:u w:val="none"/>
        </w:rPr>
        <w:t xml:space="preserve"> 10.5040/9781350223486</w:t>
      </w:r>
      <w:r>
        <w:rPr>
          <w:b w:val="0"/>
          <w:i w:val="0"/>
          <w:smallCaps w:val="0"/>
          <w:strike w:val="0"/>
          <w:u w:val="none"/>
        </w:rPr>
        <w:t>.) Julia T</w:t>
      </w:r>
    </w:p>
    <w:p>
      <w:pPr>
        <w:spacing w:after="60"/>
      </w:pPr>
      <w:r>
        <w:rPr>
          <w:b w:val="0"/>
          <w:i w:val="0"/>
          <w:smallCaps w:val="0"/>
          <w:strike w:val="0"/>
          <w:sz w:val="22"/>
          <w:u w:val="single"/>
        </w:rPr>
        <w:t>The effects</w:t>
      </w:r>
      <w:r>
        <w:rPr>
          <w:b w:val="0"/>
          <w:i w:val="0"/>
          <w:smallCaps w:val="0"/>
          <w:strike w:val="0"/>
          <w:u w:val="none"/>
        </w:rPr>
        <w:t xml:space="preserve"> of these changes are legion – though we may note immediately a clear focus upon the life sciences where they are most controversial – and </w:t>
      </w:r>
      <w:r>
        <w:rPr>
          <w:b w:val="0"/>
          <w:i w:val="0"/>
          <w:smallCaps w:val="0"/>
          <w:strike w:val="0"/>
          <w:sz w:val="22"/>
          <w:u w:val="single"/>
        </w:rPr>
        <w:t>have been judged</w:t>
      </w:r>
      <w:r>
        <w:rPr>
          <w:b w:val="0"/>
          <w:i w:val="0"/>
          <w:smallCaps w:val="0"/>
          <w:strike w:val="0"/>
          <w:u w:val="none"/>
        </w:rPr>
        <w:t xml:space="preserve"> to be </w:t>
      </w:r>
      <w:r>
        <w:rPr>
          <w:b/>
          <w:i w:val="0"/>
          <w:smallCaps w:val="0"/>
          <w:strike w:val="0"/>
          <w:sz w:val="22"/>
          <w:u w:val="single"/>
        </w:rPr>
        <w:t>overwhelmingly negative</w:t>
      </w:r>
      <w:r>
        <w:rPr>
          <w:b w:val="0"/>
          <w:i w:val="0"/>
          <w:smallCaps w:val="0"/>
          <w:strike w:val="0"/>
          <w:sz w:val="22"/>
          <w:u w:val="single"/>
        </w:rPr>
        <w:t xml:space="preserve"> by numerous commentators. A non-exhaustive list includes the following</w:t>
      </w:r>
      <w:r>
        <w:rPr>
          <w:b w:val="0"/>
          <w:i w:val="0"/>
          <w:smallCaps w:val="0"/>
          <w:strike w:val="0"/>
          <w:u w:val="none"/>
        </w:rPr>
        <w:t xml:space="preserve">. </w:t>
      </w:r>
      <w:r>
        <w:rPr>
          <w:b w:val="0"/>
          <w:i w:val="0"/>
          <w:smallCaps w:val="0"/>
          <w:strike w:val="0"/>
          <w:sz w:val="22"/>
          <w:u w:val="single"/>
        </w:rPr>
        <w:t>First, by imposing patents on medicines necessary for</w:t>
      </w:r>
      <w:r>
        <w:rPr>
          <w:b w:val="0"/>
          <w:i w:val="0"/>
          <w:smallCaps w:val="0"/>
          <w:strike w:val="0"/>
          <w:u w:val="none"/>
        </w:rPr>
        <w:t xml:space="preserve"> treatment of </w:t>
      </w:r>
      <w:r>
        <w:rPr>
          <w:b w:val="0"/>
          <w:i w:val="0"/>
          <w:smallCaps w:val="0"/>
          <w:strike w:val="0"/>
          <w:sz w:val="22"/>
          <w:u w:val="single"/>
        </w:rPr>
        <w:t>diseases affecting</w:t>
      </w:r>
      <w:r>
        <w:rPr>
          <w:b w:val="0"/>
          <w:i w:val="0"/>
          <w:smallCaps w:val="0"/>
          <w:strike w:val="0"/>
          <w:u w:val="none"/>
        </w:rPr>
        <w:t xml:space="preserve"> large sections of </w:t>
      </w:r>
      <w:r>
        <w:rPr>
          <w:b w:val="0"/>
          <w:i w:val="0"/>
          <w:smallCaps w:val="0"/>
          <w:strike w:val="0"/>
          <w:sz w:val="22"/>
          <w:u w:val="single"/>
        </w:rPr>
        <w:t>the developing world, such as AIDS or tuberculosis</w:t>
      </w:r>
      <w:r>
        <w:rPr>
          <w:b w:val="0"/>
          <w:i w:val="0"/>
          <w:smallCaps w:val="0"/>
          <w:strike w:val="0"/>
          <w:u w:val="none"/>
        </w:rPr>
        <w:t xml:space="preserve">, </w:t>
      </w:r>
      <w:r>
        <w:rPr>
          <w:b w:val="0"/>
          <w:i w:val="0"/>
          <w:smallCaps w:val="0"/>
          <w:strike w:val="0"/>
          <w:sz w:val="22"/>
          <w:u w:val="single"/>
        </w:rPr>
        <w:t>costs</w:t>
      </w:r>
      <w:r>
        <w:rPr>
          <w:b w:val="0"/>
          <w:i w:val="0"/>
          <w:smallCaps w:val="0"/>
          <w:strike w:val="0"/>
          <w:u w:val="none"/>
        </w:rPr>
        <w:t xml:space="preserve"> of these drugs </w:t>
      </w:r>
      <w:r>
        <w:rPr>
          <w:b w:val="0"/>
          <w:i w:val="0"/>
          <w:smallCaps w:val="0"/>
          <w:strike w:val="0"/>
          <w:sz w:val="22"/>
          <w:u w:val="single"/>
        </w:rPr>
        <w:t>are inflated beyond the financial means of most patients</w:t>
      </w:r>
      <w:r>
        <w:rPr>
          <w:b w:val="0"/>
          <w:i w:val="0"/>
          <w:smallCaps w:val="0"/>
          <w:strike w:val="0"/>
          <w:u w:val="none"/>
        </w:rPr>
        <w:t xml:space="preserve"> (Drahos and Mayne 2002). </w:t>
      </w:r>
      <w:r>
        <w:rPr>
          <w:b w:val="0"/>
          <w:i w:val="0"/>
          <w:smallCaps w:val="0"/>
          <w:strike w:val="0"/>
          <w:sz w:val="22"/>
          <w:u w:val="single"/>
        </w:rPr>
        <w:t>Second, by setting up IPR regimes in developing countries with rich resources of biodiversity</w:t>
      </w:r>
      <w:r>
        <w:rPr>
          <w:b w:val="0"/>
          <w:i w:val="0"/>
          <w:smallCaps w:val="0"/>
          <w:strike w:val="0"/>
          <w:u w:val="none"/>
        </w:rPr>
        <w:t xml:space="preserve">, </w:t>
      </w:r>
      <w:r>
        <w:rPr>
          <w:b w:val="0"/>
          <w:i w:val="0"/>
          <w:smallCaps w:val="0"/>
          <w:strike w:val="0"/>
          <w:sz w:val="22"/>
          <w:u w:val="single"/>
        </w:rPr>
        <w:t>‘bioprospecting’</w:t>
      </w:r>
      <w:r>
        <w:rPr>
          <w:b w:val="0"/>
          <w:i w:val="0"/>
          <w:smallCaps w:val="0"/>
          <w:strike w:val="0"/>
          <w:u w:val="none"/>
        </w:rPr>
        <w:t xml:space="preserve"> (or ‘biopiracy’, depending upon your perspective) </w:t>
      </w:r>
      <w:r>
        <w:rPr>
          <w:b w:val="0"/>
          <w:i w:val="0"/>
          <w:smallCaps w:val="0"/>
          <w:strike w:val="0"/>
          <w:sz w:val="22"/>
          <w:u w:val="single"/>
        </w:rPr>
        <w:t>is encouraged</w:t>
      </w:r>
      <w:r>
        <w:rPr>
          <w:b w:val="0"/>
          <w:i w:val="0"/>
          <w:smallCaps w:val="0"/>
          <w:strike w:val="0"/>
          <w:u w:val="none"/>
        </w:rPr>
        <w:t xml:space="preserve">, in which </w:t>
      </w:r>
      <w:r>
        <w:rPr>
          <w:b w:val="0"/>
          <w:i w:val="0"/>
          <w:smallCaps w:val="0"/>
          <w:strike w:val="0"/>
          <w:sz w:val="22"/>
          <w:u w:val="single"/>
        </w:rPr>
        <w:t>private enterprises from the Global North appropriate</w:t>
      </w:r>
      <w:r>
        <w:rPr>
          <w:b w:val="0"/>
          <w:i w:val="0"/>
          <w:smallCaps w:val="0"/>
          <w:strike w:val="0"/>
          <w:u w:val="none"/>
        </w:rPr>
        <w:t xml:space="preserve"> common </w:t>
      </w:r>
      <w:r>
        <w:rPr>
          <w:b w:val="0"/>
          <w:i w:val="0"/>
          <w:smallCaps w:val="0"/>
          <w:strike w:val="0"/>
          <w:sz w:val="22"/>
          <w:u w:val="single"/>
        </w:rPr>
        <w:t>resources of the Global South</w:t>
      </w:r>
      <w:r>
        <w:rPr>
          <w:b w:val="0"/>
          <w:i w:val="0"/>
          <w:smallCaps w:val="0"/>
          <w:strike w:val="0"/>
          <w:u w:val="none"/>
        </w:rPr>
        <w:t xml:space="preserve">. This process is particularly </w:t>
      </w:r>
      <w:r>
        <w:rPr>
          <w:b w:val="0"/>
          <w:i w:val="0"/>
          <w:smallCaps w:val="0"/>
          <w:strike w:val="0"/>
          <w:sz w:val="22"/>
          <w:u w:val="single"/>
        </w:rPr>
        <w:t>facilitated by genetic engineering techniques, which allow even insignificant</w:t>
      </w:r>
      <w:r>
        <w:rPr>
          <w:b w:val="0"/>
          <w:i w:val="0"/>
          <w:smallCaps w:val="0"/>
          <w:strike w:val="0"/>
          <w:u w:val="none"/>
        </w:rPr>
        <w:t xml:space="preserve"> </w:t>
      </w:r>
      <w:r>
        <w:rPr>
          <w:b w:val="0"/>
          <w:i w:val="0"/>
          <w:smallCaps w:val="0"/>
          <w:strike w:val="0"/>
          <w:sz w:val="22"/>
          <w:u w:val="single"/>
        </w:rPr>
        <w:t>genetic modification</w:t>
      </w:r>
      <w:r>
        <w:rPr>
          <w:b w:val="0"/>
          <w:i w:val="0"/>
          <w:smallCaps w:val="0"/>
          <w:strike w:val="0"/>
          <w:u w:val="none"/>
        </w:rPr>
        <w:t xml:space="preserve"> of these plants </w:t>
      </w:r>
      <w:r>
        <w:rPr>
          <w:b w:val="0"/>
          <w:i w:val="0"/>
          <w:smallCaps w:val="0"/>
          <w:strike w:val="0"/>
          <w:sz w:val="22"/>
          <w:u w:val="single"/>
        </w:rPr>
        <w:t>to be patented</w:t>
      </w:r>
      <w:r>
        <w:rPr>
          <w:b w:val="0"/>
          <w:i w:val="0"/>
          <w:smallCaps w:val="0"/>
          <w:strike w:val="0"/>
          <w:u w:val="none"/>
        </w:rPr>
        <w:t xml:space="preserve"> (Drahos and Braithwaite 2002; Shiva 1998, 2001). </w:t>
      </w:r>
      <w:r>
        <w:rPr>
          <w:b w:val="0"/>
          <w:i w:val="0"/>
          <w:smallCaps w:val="0"/>
          <w:strike w:val="0"/>
          <w:sz w:val="22"/>
          <w:u w:val="single"/>
        </w:rPr>
        <w:t>Third, Northern businesses</w:t>
      </w:r>
      <w:r>
        <w:rPr>
          <w:b w:val="0"/>
          <w:i w:val="0"/>
          <w:smallCaps w:val="0"/>
          <w:strike w:val="0"/>
          <w:u w:val="none"/>
        </w:rPr>
        <w:t xml:space="preserve"> also </w:t>
      </w:r>
      <w:r>
        <w:rPr>
          <w:b w:val="0"/>
          <w:i w:val="0"/>
          <w:smallCaps w:val="0"/>
          <w:strike w:val="0"/>
          <w:sz w:val="22"/>
          <w:u w:val="single"/>
        </w:rPr>
        <w:t>exploit</w:t>
      </w:r>
      <w:r>
        <w:rPr>
          <w:b w:val="0"/>
          <w:i w:val="0"/>
          <w:smallCaps w:val="0"/>
          <w:strike w:val="0"/>
          <w:u w:val="none"/>
        </w:rPr>
        <w:t xml:space="preserve"> the </w:t>
      </w:r>
      <w:r>
        <w:rPr>
          <w:b w:val="0"/>
          <w:i w:val="0"/>
          <w:smallCaps w:val="0"/>
          <w:strike w:val="0"/>
          <w:sz w:val="22"/>
          <w:u w:val="single"/>
        </w:rPr>
        <w:t>traditional medicinal knowledge</w:t>
      </w:r>
      <w:r>
        <w:rPr>
          <w:b w:val="0"/>
          <w:i w:val="0"/>
          <w:smallCaps w:val="0"/>
          <w:strike w:val="0"/>
          <w:u w:val="none"/>
        </w:rPr>
        <w:t xml:space="preserve"> as pointers for further research, </w:t>
      </w:r>
      <w:r>
        <w:rPr>
          <w:b w:val="0"/>
          <w:i w:val="0"/>
          <w:smallCaps w:val="0"/>
          <w:strike w:val="0"/>
          <w:sz w:val="22"/>
          <w:u w:val="single"/>
        </w:rPr>
        <w:t>and can patent</w:t>
      </w:r>
      <w:r>
        <w:rPr>
          <w:b w:val="0"/>
          <w:i w:val="0"/>
          <w:smallCaps w:val="0"/>
          <w:strike w:val="0"/>
          <w:u w:val="none"/>
        </w:rPr>
        <w:t xml:space="preserve"> the </w:t>
      </w:r>
      <w:r>
        <w:rPr>
          <w:b w:val="0"/>
          <w:i w:val="0"/>
          <w:smallCaps w:val="0"/>
          <w:strike w:val="0"/>
          <w:sz w:val="22"/>
          <w:u w:val="single"/>
        </w:rPr>
        <w:t>resulting knowledge</w:t>
      </w:r>
      <w:r>
        <w:rPr>
          <w:b w:val="0"/>
          <w:i w:val="0"/>
          <w:smallCaps w:val="0"/>
          <w:strike w:val="0"/>
          <w:u w:val="none"/>
        </w:rPr>
        <w:t xml:space="preserve"> (Dutfield 2003; Shiva 1998). </w:t>
      </w:r>
      <w:r>
        <w:rPr>
          <w:b w:val="0"/>
          <w:i w:val="0"/>
          <w:smallCaps w:val="0"/>
          <w:strike w:val="0"/>
          <w:sz w:val="22"/>
          <w:u w:val="single"/>
        </w:rPr>
        <w:t>Fourth, through the substitution of traditional</w:t>
      </w:r>
      <w:r>
        <w:rPr>
          <w:b w:val="0"/>
          <w:i w:val="0"/>
          <w:smallCaps w:val="0"/>
          <w:strike w:val="0"/>
          <w:u w:val="none"/>
        </w:rPr>
        <w:t xml:space="preserve"> crops and farming </w:t>
      </w:r>
      <w:r>
        <w:rPr>
          <w:b w:val="0"/>
          <w:i w:val="0"/>
          <w:smallCaps w:val="0"/>
          <w:strike w:val="0"/>
          <w:sz w:val="22"/>
          <w:u w:val="single"/>
        </w:rPr>
        <w:t>methods by patented, genetically modified crops, issues of social displacement and food security for billions</w:t>
      </w:r>
      <w:r>
        <w:rPr>
          <w:b w:val="0"/>
          <w:i w:val="0"/>
          <w:smallCaps w:val="0"/>
          <w:strike w:val="0"/>
          <w:u w:val="none"/>
        </w:rPr>
        <w:t xml:space="preserve"> of the world’s peasantry </w:t>
      </w:r>
      <w:r>
        <w:rPr>
          <w:b w:val="0"/>
          <w:i w:val="0"/>
          <w:smallCaps w:val="0"/>
          <w:strike w:val="0"/>
          <w:sz w:val="22"/>
          <w:u w:val="single"/>
        </w:rPr>
        <w:t>arise (</w:t>
      </w:r>
      <w:r>
        <w:rPr>
          <w:b w:val="0"/>
          <w:i w:val="0"/>
          <w:smallCaps w:val="0"/>
          <w:strike w:val="0"/>
          <w:u w:val="none"/>
        </w:rPr>
        <w:t>Shiva 1998, 2001</w:t>
      </w:r>
      <w:r>
        <w:rPr>
          <w:b w:val="0"/>
          <w:i w:val="0"/>
          <w:smallCaps w:val="0"/>
          <w:strike w:val="0"/>
          <w:sz w:val="22"/>
          <w:u w:val="single"/>
        </w:rPr>
        <w:t>). Last,</w:t>
      </w:r>
      <w:r>
        <w:rPr>
          <w:b w:val="0"/>
          <w:i w:val="0"/>
          <w:smallCaps w:val="0"/>
          <w:strike w:val="0"/>
          <w:u w:val="none"/>
        </w:rPr>
        <w:t xml:space="preserve"> but by no means least, </w:t>
      </w:r>
      <w:r>
        <w:rPr>
          <w:b w:val="0"/>
          <w:i w:val="0"/>
          <w:smallCaps w:val="0"/>
          <w:strike w:val="0"/>
          <w:sz w:val="22"/>
          <w:u w:val="single"/>
        </w:rPr>
        <w:t>the economic case for TRIPs is strikingly absent. First, as regards its effects on economic growth, there is</w:t>
      </w:r>
      <w:r>
        <w:rPr>
          <w:b w:val="0"/>
          <w:i w:val="0"/>
          <w:smallCaps w:val="0"/>
          <w:strike w:val="0"/>
          <w:u w:val="none"/>
        </w:rPr>
        <w:t xml:space="preserve"> almost </w:t>
      </w:r>
      <w:r>
        <w:rPr>
          <w:b w:val="0"/>
          <w:i w:val="0"/>
          <w:smallCaps w:val="0"/>
          <w:strike w:val="0"/>
          <w:sz w:val="22"/>
          <w:u w:val="single"/>
        </w:rPr>
        <w:t>unanimity in the</w:t>
      </w:r>
      <w:r>
        <w:rPr>
          <w:b w:val="0"/>
          <w:i w:val="0"/>
          <w:smallCaps w:val="0"/>
          <w:strike w:val="0"/>
          <w:u w:val="none"/>
        </w:rPr>
        <w:t xml:space="preserve"> economic </w:t>
      </w:r>
      <w:r>
        <w:rPr>
          <w:b w:val="0"/>
          <w:i w:val="0"/>
          <w:smallCaps w:val="0"/>
          <w:strike w:val="0"/>
          <w:sz w:val="22"/>
          <w:u w:val="single"/>
        </w:rPr>
        <w:t>literature that TRIPs shifts the balance</w:t>
      </w:r>
      <w:r>
        <w:rPr>
          <w:b w:val="0"/>
          <w:i w:val="0"/>
          <w:smallCaps w:val="0"/>
          <w:strike w:val="0"/>
          <w:u w:val="none"/>
        </w:rPr>
        <w:t xml:space="preserve"> of economic gains </w:t>
      </w:r>
      <w:r>
        <w:rPr>
          <w:b w:val="0"/>
          <w:i w:val="0"/>
          <w:smallCaps w:val="0"/>
          <w:strike w:val="0"/>
          <w:sz w:val="22"/>
          <w:u w:val="single"/>
        </w:rPr>
        <w:t>significantly in favour of developed economies</w:t>
      </w:r>
      <w:r>
        <w:rPr>
          <w:b w:val="0"/>
          <w:i w:val="0"/>
          <w:smallCaps w:val="0"/>
          <w:strike w:val="0"/>
          <w:u w:val="none"/>
        </w:rPr>
        <w:t xml:space="preserve">, particularly the United States, </w:t>
      </w:r>
      <w:r>
        <w:rPr>
          <w:b w:val="0"/>
          <w:i w:val="0"/>
          <w:smallCaps w:val="0"/>
          <w:strike w:val="0"/>
          <w:sz w:val="22"/>
          <w:u w:val="single"/>
        </w:rPr>
        <w:t>and away from developing countries</w:t>
      </w:r>
      <w:r>
        <w:rPr>
          <w:b w:val="0"/>
          <w:i w:val="0"/>
          <w:smallCaps w:val="0"/>
          <w:strike w:val="0"/>
          <w:u w:val="none"/>
        </w:rPr>
        <w:t xml:space="preserve"> (at least in the ‘short term’), thus </w:t>
      </w:r>
      <w:r>
        <w:rPr>
          <w:b w:val="0"/>
          <w:i w:val="0"/>
          <w:smallCaps w:val="0"/>
          <w:strike w:val="0"/>
          <w:sz w:val="22"/>
          <w:u w:val="single"/>
        </w:rPr>
        <w:t>exacerbating global inequalities</w:t>
      </w:r>
      <w:r>
        <w:rPr>
          <w:b w:val="0"/>
          <w:i w:val="0"/>
          <w:smallCaps w:val="0"/>
          <w:strike w:val="0"/>
          <w:u w:val="none"/>
        </w:rPr>
        <w:t xml:space="preserve"> in economic development.3 Indeed, one widely respected, and generally proTRIPs, analysis concludes that ‘blind faith’ is the only basis for the rest of the world outside the United States to accept TRIPs (Maskus 2000: 190). </w:t>
      </w:r>
      <w:r>
        <w:rPr>
          <w:b w:val="0"/>
          <w:i w:val="0"/>
          <w:smallCaps w:val="0"/>
          <w:strike w:val="0"/>
          <w:sz w:val="22"/>
          <w:u w:val="single"/>
        </w:rPr>
        <w:t>Even within</w:t>
      </w:r>
      <w:r>
        <w:rPr>
          <w:b w:val="0"/>
          <w:i w:val="0"/>
          <w:smallCaps w:val="0"/>
          <w:strike w:val="0"/>
          <w:u w:val="none"/>
        </w:rPr>
        <w:t xml:space="preserve"> the </w:t>
      </w:r>
      <w:r>
        <w:rPr>
          <w:b w:val="0"/>
          <w:i w:val="0"/>
          <w:smallCaps w:val="0"/>
          <w:strike w:val="0"/>
          <w:sz w:val="22"/>
          <w:u w:val="single"/>
        </w:rPr>
        <w:t>developed economies,</w:t>
      </w:r>
      <w:r>
        <w:rPr>
          <w:b w:val="0"/>
          <w:i w:val="0"/>
          <w:smallCaps w:val="0"/>
          <w:strike w:val="0"/>
          <w:u w:val="none"/>
        </w:rPr>
        <w:t xml:space="preserve"> including the US, </w:t>
      </w:r>
      <w:r>
        <w:rPr>
          <w:b w:val="0"/>
          <w:i w:val="0"/>
          <w:smallCaps w:val="0"/>
          <w:strike w:val="0"/>
          <w:sz w:val="22"/>
          <w:u w:val="single"/>
        </w:rPr>
        <w:t>the case for TRIPs was</w:t>
      </w:r>
      <w:r>
        <w:rPr>
          <w:b w:val="0"/>
          <w:i w:val="0"/>
          <w:smallCaps w:val="0"/>
          <w:strike w:val="0"/>
          <w:u w:val="none"/>
        </w:rPr>
        <w:t xml:space="preserve"> both spectacularly </w:t>
      </w:r>
      <w:r>
        <w:rPr>
          <w:b w:val="0"/>
          <w:i w:val="0"/>
          <w:smallCaps w:val="0"/>
          <w:strike w:val="0"/>
          <w:sz w:val="22"/>
          <w:u w:val="single"/>
        </w:rPr>
        <w:t>weak</w:t>
      </w:r>
      <w:r>
        <w:rPr>
          <w:b w:val="0"/>
          <w:i w:val="0"/>
          <w:smallCaps w:val="0"/>
          <w:strike w:val="0"/>
          <w:u w:val="none"/>
        </w:rPr>
        <w:t xml:space="preserve"> and dependent upon forging from scratch a conceptual connection between IPRs and free global trade. As regards the latter issue, this </w:t>
      </w:r>
      <w:r>
        <w:rPr>
          <w:b w:val="0"/>
          <w:i w:val="0"/>
          <w:smallCaps w:val="0"/>
          <w:strike w:val="0"/>
          <w:sz w:val="22"/>
          <w:u w:val="single"/>
        </w:rPr>
        <w:t>involved a wholesale redefinition of the nature and purpose of patents</w:t>
      </w:r>
      <w:r>
        <w:rPr>
          <w:b w:val="0"/>
          <w:i w:val="0"/>
          <w:smallCaps w:val="0"/>
          <w:strike w:val="0"/>
          <w:u w:val="none"/>
        </w:rPr>
        <w:t xml:space="preserve">. Patents are (temporary) monopoly rights regarding the exploitation of various ‘intellectual’ resources. As such, they have traditionally been treated as directly opposed to free and open markets. </w:t>
      </w:r>
      <w:r>
        <w:rPr>
          <w:b w:val="0"/>
          <w:i w:val="0"/>
          <w:smallCaps w:val="0"/>
          <w:strike w:val="0"/>
          <w:sz w:val="22"/>
          <w:u w:val="single"/>
        </w:rPr>
        <w:t>Portraying patents as a central issue for</w:t>
      </w:r>
      <w:r>
        <w:rPr>
          <w:b w:val="0"/>
          <w:i w:val="0"/>
          <w:smallCaps w:val="0"/>
          <w:strike w:val="0"/>
          <w:u w:val="none"/>
        </w:rPr>
        <w:t xml:space="preserve"> the </w:t>
      </w:r>
      <w:r>
        <w:rPr>
          <w:b w:val="0"/>
          <w:i w:val="0"/>
          <w:smallCaps w:val="0"/>
          <w:strike w:val="0"/>
          <w:sz w:val="22"/>
          <w:u w:val="single"/>
        </w:rPr>
        <w:t>global opening of trade was</w:t>
      </w:r>
      <w:r>
        <w:rPr>
          <w:b w:val="0"/>
          <w:i w:val="0"/>
          <w:smallCaps w:val="0"/>
          <w:strike w:val="0"/>
          <w:u w:val="none"/>
        </w:rPr>
        <w:t xml:space="preserve"> thus </w:t>
      </w:r>
      <w:r>
        <w:rPr>
          <w:b w:val="0"/>
          <w:i w:val="0"/>
          <w:smallCaps w:val="0"/>
          <w:strike w:val="0"/>
          <w:sz w:val="22"/>
          <w:u w:val="single"/>
        </w:rPr>
        <w:t>an extraordinary conceptual sleight of hand.</w:t>
      </w:r>
      <w:r>
        <w:rPr>
          <w:b w:val="0"/>
          <w:i w:val="0"/>
          <w:smallCaps w:val="0"/>
          <w:strike w:val="0"/>
          <w:u w:val="none"/>
        </w:rPr>
        <w:t xml:space="preserve"> Furthermore, patents have generally been legitimated as necessary incentives for individuals to engage in the risky and uncertain process of technological invention. Conversely, the argument for TRIPs was that scientific research would not be developed into profitable commodities without patents – a concern with innovation rather than invention. This opens the economic case for TRIPs to the objection that IPRs are a relatively unimportant mechanism for the translation of scientific research into innovation in the vast majority of industries (Mansfield 1986). Furthermore, </w:t>
      </w:r>
      <w:r>
        <w:rPr>
          <w:b w:val="0"/>
          <w:i w:val="0"/>
          <w:smallCaps w:val="0"/>
          <w:strike w:val="0"/>
          <w:sz w:val="22"/>
          <w:u w:val="single"/>
        </w:rPr>
        <w:t>literature</w:t>
      </w:r>
      <w:r>
        <w:rPr>
          <w:b w:val="0"/>
          <w:i w:val="0"/>
          <w:smallCaps w:val="0"/>
          <w:strike w:val="0"/>
          <w:u w:val="none"/>
        </w:rPr>
        <w:t xml:space="preserve"> on this empirical claim – which was still ‘emergent’ in 2003, some 10–15 years after the TRIPs negotiations (Cohen and Merrill 2003: 3) – </w:t>
      </w:r>
      <w:r>
        <w:rPr>
          <w:b w:val="0"/>
          <w:i w:val="0"/>
          <w:smallCaps w:val="0"/>
          <w:strike w:val="0"/>
          <w:sz w:val="22"/>
          <w:u w:val="single"/>
        </w:rPr>
        <w:t>shows</w:t>
      </w:r>
      <w:r>
        <w:rPr>
          <w:b w:val="0"/>
          <w:i w:val="0"/>
          <w:smallCaps w:val="0"/>
          <w:strike w:val="0"/>
          <w:u w:val="none"/>
        </w:rPr>
        <w:t xml:space="preserve"> that there are few ‘robust conclusions’ </w:t>
      </w:r>
      <w:r>
        <w:rPr>
          <w:b w:val="0"/>
          <w:i w:val="0"/>
          <w:smallCaps w:val="0"/>
          <w:strike w:val="0"/>
          <w:u w:val="none"/>
        </w:rPr>
        <w:t xml:space="preserve">for patent policy regarding its connection to innovation (Jaffe 2000: 531, 554) and </w:t>
      </w:r>
      <w:r>
        <w:rPr>
          <w:b w:val="0"/>
          <w:i w:val="0"/>
          <w:smallCaps w:val="0"/>
          <w:strike w:val="0"/>
          <w:sz w:val="22"/>
          <w:u w:val="single"/>
        </w:rPr>
        <w:t>that</w:t>
      </w:r>
      <w:r>
        <w:rPr>
          <w:b w:val="0"/>
          <w:i w:val="0"/>
          <w:smallCaps w:val="0"/>
          <w:strike w:val="0"/>
          <w:u w:val="none"/>
        </w:rPr>
        <w:t xml:space="preserve">, if anything, </w:t>
      </w:r>
      <w:r>
        <w:rPr>
          <w:b w:val="0"/>
          <w:i w:val="0"/>
          <w:smallCaps w:val="0"/>
          <w:strike w:val="0"/>
          <w:sz w:val="22"/>
          <w:u w:val="single"/>
        </w:rPr>
        <w:t>strengthening patents has had distinctly negative effects on innovation in the US</w:t>
      </w:r>
      <w:r>
        <w:rPr>
          <w:b w:val="0"/>
          <w:i w:val="0"/>
          <w:smallCaps w:val="0"/>
          <w:strike w:val="0"/>
          <w:u w:val="none"/>
        </w:rPr>
        <w:t xml:space="preserve"> (Jaffe and Lerner 2006). </w:t>
      </w:r>
      <w:r>
        <w:rPr>
          <w:b w:val="0"/>
          <w:i w:val="0"/>
          <w:smallCaps w:val="0"/>
          <w:strike w:val="0"/>
          <w:sz w:val="22"/>
          <w:u w:val="single"/>
        </w:rPr>
        <w:t>TRIPs thus effects momentous and contested changes to global trade rules in the absence of any credible economic case. Yet</w:t>
      </w:r>
      <w:r>
        <w:rPr>
          <w:b w:val="0"/>
          <w:i w:val="0"/>
          <w:smallCaps w:val="0"/>
          <w:strike w:val="0"/>
          <w:u w:val="none"/>
        </w:rPr>
        <w:t xml:space="preserve"> amazingly ‘probably </w:t>
      </w:r>
      <w:r>
        <w:rPr>
          <w:b w:val="0"/>
          <w:i w:val="0"/>
          <w:smallCaps w:val="0"/>
          <w:strike w:val="0"/>
          <w:sz w:val="22"/>
          <w:u w:val="single"/>
        </w:rPr>
        <w:t>l</w:t>
      </w:r>
      <w:r>
        <w:rPr>
          <w:b/>
          <w:i w:val="0"/>
          <w:smallCaps w:val="0"/>
          <w:strike w:val="0"/>
          <w:sz w:val="22"/>
          <w:u w:val="single"/>
        </w:rPr>
        <w:t>ess</w:t>
      </w:r>
      <w:r>
        <w:rPr>
          <w:b w:val="0"/>
          <w:i w:val="0"/>
          <w:smallCaps w:val="0"/>
          <w:strike w:val="0"/>
          <w:u w:val="none"/>
        </w:rPr>
        <w:t xml:space="preserve"> (sic) </w:t>
      </w:r>
      <w:r>
        <w:rPr>
          <w:b/>
          <w:i w:val="0"/>
          <w:smallCaps w:val="0"/>
          <w:strike w:val="0"/>
          <w:sz w:val="22"/>
          <w:u w:val="single"/>
        </w:rPr>
        <w:t>than 50 people were responsible</w:t>
      </w:r>
      <w:r>
        <w:rPr>
          <w:b w:val="0"/>
          <w:i w:val="0"/>
          <w:smallCaps w:val="0"/>
          <w:strike w:val="0"/>
          <w:sz w:val="22"/>
          <w:u w:val="single"/>
        </w:rPr>
        <w:t xml:space="preserve"> for TRIPs</w:t>
      </w:r>
      <w:r>
        <w:rPr>
          <w:b w:val="0"/>
          <w:i w:val="0"/>
          <w:smallCaps w:val="0"/>
          <w:strike w:val="0"/>
          <w:u w:val="none"/>
        </w:rPr>
        <w:t xml:space="preserve">’ (Drahos and Braithwaite 2002: 10, quoting a senior US trade negotiator). Furthermore, </w:t>
      </w:r>
      <w:r>
        <w:rPr>
          <w:b w:val="0"/>
          <w:i w:val="0"/>
          <w:smallCaps w:val="0"/>
          <w:strike w:val="0"/>
          <w:sz w:val="22"/>
          <w:u w:val="single"/>
        </w:rPr>
        <w:t>these people were representatives of private businesses</w:t>
      </w:r>
      <w:r>
        <w:rPr>
          <w:b w:val="0"/>
          <w:i w:val="0"/>
          <w:smallCaps w:val="0"/>
          <w:strike w:val="0"/>
          <w:u w:val="none"/>
        </w:rPr>
        <w:t xml:space="preserve">, mostly based in the US, </w:t>
      </w:r>
      <w:r>
        <w:rPr>
          <w:b w:val="0"/>
          <w:i w:val="0"/>
          <w:smallCaps w:val="0"/>
          <w:strike w:val="0"/>
          <w:sz w:val="22"/>
          <w:u w:val="single"/>
        </w:rPr>
        <w:t>with significant interests in IPRs</w:t>
      </w:r>
      <w:r>
        <w:rPr>
          <w:b w:val="0"/>
          <w:i w:val="0"/>
          <w:smallCaps w:val="0"/>
          <w:strike w:val="0"/>
          <w:u w:val="none"/>
        </w:rPr>
        <w:t>, not politicians or national trade diplomats who actually signed the agreement. Thus ‘</w:t>
      </w:r>
      <w:r>
        <w:rPr>
          <w:b w:val="0"/>
          <w:i w:val="0"/>
          <w:smallCaps w:val="0"/>
          <w:strike w:val="0"/>
          <w:sz w:val="22"/>
          <w:u w:val="single"/>
        </w:rPr>
        <w:t>in effect, twelve corporations made public law for the world’</w:t>
      </w:r>
      <w:r>
        <w:rPr>
          <w:b w:val="0"/>
          <w:i w:val="0"/>
          <w:smallCaps w:val="0"/>
          <w:strike w:val="0"/>
          <w:u w:val="none"/>
        </w:rPr>
        <w:t xml:space="preserve"> (Sell 1999: 171). These companies together formed the Intellectual Property Committee (IPC) in March 1986 to coordinate their political lobbying for TRIPs. Regarding patents, the American pharmaceutical TNCs (henceforth ‘Big Pharma’) dominated, particularly Pfizer, while for copyright it was the IT and recording industries, particularly IBM. </w:t>
      </w:r>
      <w:r>
        <w:rPr>
          <w:b w:val="0"/>
          <w:i w:val="0"/>
          <w:smallCaps w:val="0"/>
          <w:strike w:val="0"/>
          <w:sz w:val="22"/>
          <w:u w:val="single"/>
        </w:rPr>
        <w:t>These companies stood to profit enormously from TRIPs; and</w:t>
      </w:r>
      <w:r>
        <w:rPr>
          <w:b w:val="0"/>
          <w:i w:val="0"/>
          <w:smallCaps w:val="0"/>
          <w:strike w:val="0"/>
          <w:u w:val="none"/>
        </w:rPr>
        <w:t xml:space="preserve">, indeed, </w:t>
      </w:r>
      <w:r>
        <w:rPr>
          <w:b w:val="0"/>
          <w:i w:val="0"/>
          <w:smallCaps w:val="0"/>
          <w:strike w:val="0"/>
          <w:sz w:val="22"/>
          <w:u w:val="single"/>
        </w:rPr>
        <w:t>the economic rationale for TRIPs</w:t>
      </w:r>
      <w:r>
        <w:rPr>
          <w:b w:val="0"/>
          <w:i w:val="0"/>
          <w:smallCaps w:val="0"/>
          <w:strike w:val="0"/>
          <w:u w:val="none"/>
        </w:rPr>
        <w:t xml:space="preserve"> (though not its justification) </w:t>
      </w:r>
      <w:r>
        <w:rPr>
          <w:b w:val="0"/>
          <w:i w:val="0"/>
          <w:smallCaps w:val="0"/>
          <w:strike w:val="0"/>
          <w:sz w:val="22"/>
          <w:u w:val="single"/>
        </w:rPr>
        <w:t>is only apparent for these agents</w:t>
      </w:r>
      <w:r>
        <w:rPr>
          <w:b w:val="0"/>
          <w:i w:val="0"/>
          <w:smallCaps w:val="0"/>
          <w:strike w:val="0"/>
          <w:u w:val="none"/>
        </w:rPr>
        <w:t xml:space="preserve">. The IPC’s control of the US Trade Representative (USTR) was almost total. For instance, </w:t>
      </w:r>
      <w:r>
        <w:rPr>
          <w:b w:val="0"/>
          <w:i w:val="0"/>
          <w:smallCaps w:val="0"/>
          <w:strike w:val="0"/>
          <w:sz w:val="22"/>
          <w:u w:val="single"/>
        </w:rPr>
        <w:t>the IPC drafted memos that were then circulated as government policy.</w:t>
      </w:r>
      <w:r>
        <w:rPr>
          <w:b w:val="0"/>
          <w:i w:val="0"/>
          <w:smallCaps w:val="0"/>
          <w:strike w:val="0"/>
          <w:u w:val="none"/>
        </w:rPr>
        <w:t xml:space="preserve"> Furthermore, while those behind TRIPs managed to get ‘95 per cent’ of what they were after (Drahos and Braithwaite 2002, quoting the Chairman of the IPC), this was also in the face of striking opposition, particularly from the large developing countries, India and Brazil, that stood to lose out significantly. Yet eventually this opposition was neutralized, not least through the deployment of threats from the USTR that these countries would be subject to American penalties and tariffs for their ‘restrictive’ trade practices. In these circumstances, the only alternative was a multilateral agreement that could at least provide a forum for some arbitration of these disputes. It is clear, therefore, that </w:t>
      </w:r>
      <w:r>
        <w:rPr>
          <w:b w:val="0"/>
          <w:i w:val="0"/>
          <w:smallCaps w:val="0"/>
          <w:strike w:val="0"/>
          <w:sz w:val="22"/>
          <w:u w:val="single"/>
        </w:rPr>
        <w:t xml:space="preserve">TRIPs </w:t>
      </w:r>
      <w:r>
        <w:rPr>
          <w:b/>
          <w:i w:val="0"/>
          <w:smallCaps w:val="0"/>
          <w:strike w:val="0"/>
          <w:sz w:val="22"/>
          <w:u w:val="single"/>
        </w:rPr>
        <w:t>represents the deployment of exceptional political power</w:t>
      </w:r>
      <w:r>
        <w:rPr>
          <w:b w:val="0"/>
          <w:i w:val="0"/>
          <w:smallCaps w:val="0"/>
          <w:strike w:val="0"/>
          <w:u w:val="none"/>
        </w:rPr>
        <w:t>. Yet this cannot be explained purely in terms of strong corporate interests getting their will, as comparison with parallel neoliberal measures of global regulation reveals. The negotiations for global rules on financial investment (the TradeRelated Investment Measures agreement, TRIMs) and on trade in services (General Agreement on Trade in Service, GATS) were both much less successful for their corporate protagonists, despite having significant backing from powerful industrial and financial sectors (Sell 2003).</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