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 w:val="0"/>
          <w:i w:val="0"/>
          <w:smallCaps w:val="0"/>
          <w:strike w:val="0"/>
          <w:sz w:val="26"/>
          <w:u w:val="none"/>
        </w:rPr>
        <w:t xml:space="preserve">Exclusionary policy based on competition against China </w:t>
      </w:r>
      <w:r>
        <w:rPr>
          <w:b w:val="0"/>
          <w:i w:val="0"/>
          <w:smallCaps w:val="0"/>
          <w:strike w:val="0"/>
          <w:sz w:val="26"/>
          <w:u w:val="none"/>
        </w:rPr>
        <w:t>causes surging nationalism and economic collapse.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Jake </w:t>
      </w:r>
      <w:r>
        <w:rPr>
          <w:b/>
          <w:i w:val="0"/>
          <w:smallCaps w:val="0"/>
          <w:strike w:val="0"/>
          <w:sz w:val="26"/>
          <w:u w:val="none"/>
        </w:rPr>
        <w:t>Werner 23</w:t>
      </w:r>
      <w:r>
        <w:rPr>
          <w:b w:val="0"/>
          <w:i w:val="0"/>
          <w:smallCaps w:val="0"/>
          <w:strike w:val="0"/>
          <w:sz w:val="22"/>
          <w:u w:val="none"/>
        </w:rPr>
        <w:t>, 9/14/2023, Werner is the acting director of the East Asia program at Quincy Institute and has PhD in history from the University of Chicago ,”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Competition Versus Exclusion in U.S.–China Relations: A Choice Between Stability and Conflict”, https://quincyinst.org/research/competition-versus-exclusion-in-u-s-china-relations-a-choice-between-stability-and-conflict/#executive-summary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The Biden administration’s rhetoric and policy toward China have featured an imbalance between these two impulses,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favoring restrictive and exclusionary measures at the expense of both competitive and cooperative opportunities for mutual gain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 Washington’s orientation toward China is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not so much about engaging in competition as about cutting off competition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>.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That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sends a signal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Chinese leaders that the world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the United States seeks has no room for China’s success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 This strengthens the hand of those in China arguing for more confrontational responses and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exacerbates popular nationalism in China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. At the same time, it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sends a signal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the American public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that constructive relations with China are impossible, bolstering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those voices in U.S. politics calling for more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extreme forms of China exclusion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 and strengthening nativist currents that feed off the image of nefarious foreigners. These escalatory dynamics in both countries </w:t>
      </w:r>
      <w:r>
        <w:rPr>
          <w:b w:val="0"/>
          <w:i w:val="0"/>
          <w:smallCaps w:val="0"/>
          <w:strike w:val="0"/>
          <w:sz w:val="22"/>
          <w:u w:val="single"/>
        </w:rPr>
        <w:t>now threaten to harden zero–sum pressures in the global system into a permanent structure of hostility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, in which </w:t>
      </w:r>
      <w:r>
        <w:rPr>
          <w:b w:val="0"/>
          <w:i w:val="0"/>
          <w:smallCaps w:val="0"/>
          <w:strike w:val="0"/>
          <w:sz w:val="22"/>
          <w:u w:val="single"/>
        </w:rPr>
        <w:t>each country would organize its own society and international partners to undermine the other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>, dramatically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increasing the likelihood of violent conflict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. The tentative diplomatic exchanges that in recent months have temporarily cooled overheated rhetoric on both sides will ultimately be overwhelmed by the now deep–seated logic of exclusion and confrontation — unless officials on both sides sharply reorient toward a shared project of revitalizing the global system around an inclusive common good. ….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also poses</w:t>
      </w:r>
      <w:r>
        <w:rPr>
          <w:b w:val="0"/>
          <w:i w:val="0"/>
          <w:smallCaps w:val="0"/>
          <w:strike w:val="0"/>
          <w:sz w:val="22"/>
          <w:u w:val="single"/>
        </w:rPr>
        <w:t>, in Xi Jinping’s words, “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challenges of unprecedented severity to the country’s development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>.”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 Since the global financial crisis,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Chinese growth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government revenue, and regular people’s strategies for establishing their families and saving for retirement have all been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based on a huge real estate bubble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leadership has been trying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find a way to 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deflate the bubble without setting off a crisis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a decade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. But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that requires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different source of growth to replace the bubble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, and Chinese leaders have concluded — like U.S. leaders thinking about problems in the U.S. economy —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solution is developing high–tech</w:t>
      </w:r>
      <w:r>
        <w:rPr>
          <w:b w:val="0"/>
          <w:i w:val="0"/>
          <w:smallCaps w:val="0"/>
          <w:strike w:val="0"/>
          <w:color w:val="222222"/>
          <w:sz w:val="16"/>
          <w:u w:val="none"/>
        </w:rPr>
        <w:t xml:space="preserve"> sectors while modestly reducing domestic economic inequality to increase consumer demand and political legitimacy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Exclusionary U.S. policie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 thus threaten to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cut off the Chinese economy’s escape route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from the danger of financial collapse. </w:t>
      </w:r>
    </w:p>
    <w:p>
      <w:pPr>
        <w:pStyle w:val="Caption"/>
      </w:pPr>
      <w:r>
        <w:t>Source: Economic Competitiveness Kritik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