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perm solves</w:t>
      </w:r>
    </w:p>
    <w:p>
      <w:pPr>
        <w:spacing w:after="80"/>
      </w:pPr>
      <w:r>
        <w:rPr>
          <w:b w:val="0"/>
          <w:i w:val="0"/>
          <w:smallCaps w:val="0"/>
          <w:strike w:val="0"/>
          <w:sz w:val="24"/>
          <w:u w:val="none"/>
        </w:rPr>
        <w:t>Krystyna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Swiderska 21</w:t>
      </w:r>
      <w:r>
        <w:rPr>
          <w:b/>
          <w:i w:val="0"/>
          <w:smallCaps w:val="0"/>
          <w:strike w:val="0"/>
          <w:sz w:val="24"/>
          <w:u w:val="none"/>
        </w:rPr>
        <w:t>.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Krystyna Swiderska is principal researcher in IIED's Natural Resource research group (IIED). “Here's why Indigenous economics is the key to saving nature”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Kkang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Peoples’ ‘mixed economies’, which combine subsistence and market activities, sustain Indigenous values that underpin biodiversity conservation, while contributing to nutrition, health, wellbeing and climate resilience, and generating income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none"/>
        </w:rPr>
        <w:t>Local markets and short value chains are often prioritised, rather than global export markets.</w:t>
      </w:r>
    </w:p>
    <w:p>
      <w:pPr>
        <w:pStyle w:val="Caption"/>
      </w:pPr>
      <w:r>
        <w:t>Source: Coloniality and Property Supplement - Michigan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