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oxymoronic act of reading their K in the academy dooms the alt.</w:t>
      </w:r>
    </w:p>
    <w:p>
      <w:pPr>
        <w:spacing w:after="80"/>
      </w:pPr>
      <w:r>
        <w:rPr>
          <w:b/>
          <w:i w:val="0"/>
          <w:smallCaps w:val="0"/>
          <w:strike w:val="0"/>
          <w:u w:val="single"/>
        </w:rPr>
        <w:t>Stern and Towns 22</w:t>
      </w:r>
      <w:r>
        <w:rPr>
          <w:b w:val="0"/>
          <w:i w:val="0"/>
          <w:smallCaps w:val="0"/>
          <w:strike w:val="0"/>
          <w:u w:val="none"/>
        </w:rPr>
        <w:t>, [Maria Stern, Ann E. Towns, “Feminist IR in Europe: Knowledge Production in Academic Institutions,”</w:t>
      </w:r>
      <w:r>
        <w:rPr>
          <w:b w:val="0"/>
          <w:i w:val="0"/>
          <w:smallCaps w:val="0"/>
          <w:strike w:val="0"/>
          <w:u w:val="none"/>
        </w:rPr>
        <w:t>, 2022] Mr.Mr.</w:t>
      </w:r>
    </w:p>
    <w:p>
      <w:pPr>
        <w:spacing w:after="60"/>
      </w:pPr>
      <w:r>
        <w:rPr>
          <w:b w:val="0"/>
          <w:i w:val="0"/>
          <w:smallCaps w:val="0"/>
          <w:strike w:val="0"/>
          <w:highlight w:val="green"/>
          <w:u w:val="single"/>
        </w:rPr>
        <w:t>Scholars’ geographical locations matter</w:t>
      </w:r>
      <w:r>
        <w:rPr>
          <w:b w:val="0"/>
          <w:i w:val="0"/>
          <w:smallCaps w:val="0"/>
          <w:strike w:val="0"/>
          <w:u w:val="single"/>
        </w:rPr>
        <w:t xml:space="preserve"> for </w:t>
      </w:r>
      <w:r>
        <w:rPr>
          <w:b w:val="0"/>
          <w:i w:val="0"/>
          <w:smallCaps w:val="0"/>
          <w:strike w:val="0"/>
          <w:u w:val="single"/>
        </w:rPr>
        <w:t>a number of</w:t>
      </w:r>
      <w:r>
        <w:rPr>
          <w:b w:val="0"/>
          <w:i w:val="0"/>
          <w:smallCaps w:val="0"/>
          <w:strike w:val="0"/>
          <w:u w:val="single"/>
        </w:rPr>
        <w:t xml:space="preserve"> reasons to do with the politics of knowledge (some of which are discussed above), and they also matter </w:t>
      </w:r>
      <w:r>
        <w:rPr>
          <w:b w:val="0"/>
          <w:i w:val="0"/>
          <w:smallCaps w:val="0"/>
          <w:strike w:val="0"/>
          <w:highlight w:val="green"/>
          <w:u w:val="single"/>
        </w:rPr>
        <w:t>because they can shape the types of research that is possible</w:t>
      </w:r>
      <w:r>
        <w:rPr>
          <w:b w:val="0"/>
          <w:i w:val="0"/>
          <w:smallCaps w:val="0"/>
          <w:strike w:val="0"/>
          <w:u w:val="none"/>
        </w:rPr>
        <w:t xml:space="preserve">. </w:t>
      </w:r>
      <w:r>
        <w:rPr>
          <w:b w:val="0"/>
          <w:i w:val="0"/>
          <w:smallCaps w:val="0"/>
          <w:strike w:val="0"/>
          <w:highlight w:val="green"/>
          <w:u w:val="single"/>
        </w:rPr>
        <w:t>While in some locations</w:t>
      </w:r>
      <w:r>
        <w:rPr>
          <w:b w:val="0"/>
          <w:i w:val="0"/>
          <w:smallCaps w:val="0"/>
          <w:strike w:val="0"/>
          <w:u w:val="single"/>
        </w:rPr>
        <w:t xml:space="preserve"> (e.g. in Hungary) </w:t>
      </w:r>
      <w:r>
        <w:rPr>
          <w:b w:val="0"/>
          <w:i w:val="0"/>
          <w:smallCaps w:val="0"/>
          <w:strike w:val="0"/>
          <w:highlight w:val="green"/>
          <w:u w:val="single"/>
        </w:rPr>
        <w:t>it may be impossible to conduct feminist research in an academic institution at all</w:t>
      </w:r>
      <w:r>
        <w:rPr>
          <w:b w:val="0"/>
          <w:i w:val="0"/>
          <w:smallCaps w:val="0"/>
          <w:strike w:val="0"/>
          <w:u w:val="single"/>
        </w:rPr>
        <w:t xml:space="preserve">, </w:t>
      </w:r>
      <w:r>
        <w:rPr>
          <w:b w:val="0"/>
          <w:i w:val="0"/>
          <w:smallCaps w:val="0"/>
          <w:strike w:val="0"/>
          <w:highlight w:val="green"/>
          <w:u w:val="single"/>
        </w:rPr>
        <w:t xml:space="preserve">practical issues in other locations—such as the priorities and </w:t>
      </w:r>
      <w:r>
        <w:rPr>
          <w:b w:val="0"/>
          <w:i w:val="0"/>
          <w:smallCaps w:val="0"/>
          <w:strike w:val="0"/>
          <w:highlight w:val="green"/>
          <w:u w:val="single"/>
        </w:rPr>
        <w:t>methodological biases of funding bodies, the relative permissiveness of risk assessment regimes, and the possibility of getting research access into military institutions—all shape what types of feminist research are possible</w:t>
      </w:r>
      <w:r>
        <w:rPr>
          <w:b w:val="0"/>
          <w:i w:val="0"/>
          <w:smallCaps w:val="0"/>
          <w:strike w:val="0"/>
          <w:u w:val="none"/>
        </w:rPr>
        <w:t xml:space="preserve">. </w:t>
      </w:r>
      <w:r>
        <w:rPr>
          <w:b w:val="0"/>
          <w:i w:val="0"/>
          <w:smallCaps w:val="0"/>
          <w:strike w:val="0"/>
          <w:sz w:val="16"/>
          <w:u w:val="none"/>
        </w:rPr>
        <w:t xml:space="preserve">This likely plays out in different ways across Europe, but I offer a couple of examples from the UK here because, given that most scholars </w:t>
      </w:r>
      <w:r>
        <w:rPr>
          <w:b w:val="0"/>
          <w:i w:val="0"/>
          <w:smallCaps w:val="0"/>
          <w:strike w:val="0"/>
          <w:sz w:val="16"/>
          <w:u w:val="none"/>
        </w:rPr>
        <w:t>are located in</w:t>
      </w:r>
      <w:r>
        <w:rPr>
          <w:b w:val="0"/>
          <w:i w:val="0"/>
          <w:smallCaps w:val="0"/>
          <w:strike w:val="0"/>
          <w:sz w:val="16"/>
          <w:u w:val="none"/>
        </w:rPr>
        <w:t xml:space="preserve"> the UK, this likely has the most significant impact on the field as a whole. The most immediate point here is that the concentration of scholars in the UK leads to </w:t>
      </w:r>
      <w:r>
        <w:rPr>
          <w:b w:val="0"/>
          <w:i w:val="0"/>
          <w:smallCaps w:val="0"/>
          <w:strike w:val="0"/>
          <w:sz w:val="16"/>
          <w:u w:val="none"/>
        </w:rPr>
        <w:t>an</w:t>
      </w:r>
      <w:r>
        <w:rPr>
          <w:b w:val="0"/>
          <w:i w:val="0"/>
          <w:smallCaps w:val="0"/>
          <w:strike w:val="0"/>
          <w:sz w:val="16"/>
          <w:u w:val="none"/>
        </w:rPr>
        <w:t xml:space="preserve"> disproportionate focus in the literature on the UK military, but there are also more subtle factors at play. Many UK institutions have cautious travel risk assessment policies that somewhat simplistically (and influenced by a colonial mindset) divide the world into ‘low risk’ and ‘high risk,’ or even ‘hostile’ locations. Anecdotally, this may result in researchers being denied permission to carry out fieldwork in certain locations in a way that would not happen, for example, in Sweden, where universities do not seem to follow restrictive travel risk assessment regimes. Similarly, the quantity of scholarship that does exist on the British military perhaps masks the </w:t>
      </w:r>
      <w:r>
        <w:rPr>
          <w:b w:val="0"/>
          <w:i w:val="0"/>
          <w:smallCaps w:val="0"/>
          <w:strike w:val="0"/>
          <w:sz w:val="16"/>
          <w:u w:val="none"/>
        </w:rPr>
        <w:t>often difficult</w:t>
      </w:r>
      <w:r>
        <w:rPr>
          <w:b w:val="0"/>
          <w:i w:val="0"/>
          <w:smallCaps w:val="0"/>
          <w:strike w:val="0"/>
          <w:sz w:val="16"/>
          <w:u w:val="none"/>
        </w:rPr>
        <w:t xml:space="preserve"> processes required to gain approval to conduct research with members of the institution itself, which particularly constrain research that is interpretive, critical, and/or feminist</w:t>
      </w:r>
      <w:r>
        <w:rPr>
          <w:b w:val="0"/>
          <w:i w:val="0"/>
          <w:smallCaps w:val="0"/>
          <w:strike w:val="0"/>
          <w:u w:val="none"/>
        </w:rPr>
        <w:t xml:space="preserve">. </w:t>
      </w:r>
      <w:r>
        <w:rPr>
          <w:b w:val="0"/>
          <w:i w:val="0"/>
          <w:smallCaps w:val="0"/>
          <w:strike w:val="0"/>
          <w:highlight w:val="green"/>
          <w:u w:val="single"/>
        </w:rPr>
        <w:t>The</w:t>
      </w:r>
      <w:r>
        <w:rPr>
          <w:b w:val="0"/>
          <w:i w:val="0"/>
          <w:smallCaps w:val="0"/>
          <w:strike w:val="0"/>
          <w:u w:val="single"/>
        </w:rPr>
        <w:t xml:space="preserve"> power and </w:t>
      </w:r>
      <w:r>
        <w:rPr>
          <w:b w:val="0"/>
          <w:i w:val="0"/>
          <w:smallCaps w:val="0"/>
          <w:strike w:val="0"/>
          <w:highlight w:val="green"/>
          <w:u w:val="single"/>
        </w:rPr>
        <w:t>biases of military gatekeepers</w:t>
      </w:r>
      <w:r>
        <w:rPr>
          <w:b w:val="0"/>
          <w:i w:val="0"/>
          <w:smallCaps w:val="0"/>
          <w:strike w:val="0"/>
          <w:u w:val="single"/>
        </w:rPr>
        <w:t xml:space="preserve"> in the British context </w:t>
      </w:r>
      <w:r>
        <w:rPr>
          <w:b w:val="0"/>
          <w:i w:val="0"/>
          <w:smallCaps w:val="0"/>
          <w:strike w:val="0"/>
          <w:highlight w:val="green"/>
          <w:u w:val="single"/>
        </w:rPr>
        <w:t>have doubtless prevented and</w:t>
      </w:r>
      <w:r>
        <w:rPr>
          <w:b w:val="0"/>
          <w:i w:val="0"/>
          <w:smallCaps w:val="0"/>
          <w:strike w:val="0"/>
          <w:u w:val="single"/>
        </w:rPr>
        <w:t xml:space="preserve">/or </w:t>
      </w:r>
      <w:r>
        <w:rPr>
          <w:b w:val="0"/>
          <w:i w:val="0"/>
          <w:smallCaps w:val="0"/>
          <w:strike w:val="0"/>
          <w:highlight w:val="green"/>
          <w:u w:val="single"/>
        </w:rPr>
        <w:t>reshaped feminist research that would otherwise have been conducted</w:t>
      </w:r>
      <w:r>
        <w:rPr>
          <w:b w:val="0"/>
          <w:i w:val="0"/>
          <w:smallCaps w:val="0"/>
          <w:strike w:val="0"/>
          <w:u w:val="none"/>
        </w:rPr>
        <w:t xml:space="preserve"> (Basham and Catignani 2021). It is not possible, of course, to conduct a review of literature not published and research 2 DISPARITIES AND DIVERSIFICATION … 25 not carried out. </w:t>
      </w:r>
      <w:r>
        <w:rPr>
          <w:b w:val="0"/>
          <w:i w:val="0"/>
          <w:smallCaps w:val="0"/>
          <w:strike w:val="0"/>
          <w:u w:val="single"/>
        </w:rPr>
        <w:t xml:space="preserve">However, the point I want to make here is that </w:t>
      </w:r>
      <w:r>
        <w:rPr>
          <w:b w:val="0"/>
          <w:i w:val="0"/>
          <w:smallCaps w:val="0"/>
          <w:strike w:val="0"/>
          <w:highlight w:val="green"/>
          <w:u w:val="single"/>
        </w:rPr>
        <w:t>it is not only intellectual interest that drives how feminist scholars</w:t>
      </w:r>
      <w:r>
        <w:rPr>
          <w:b w:val="0"/>
          <w:i w:val="0"/>
          <w:smallCaps w:val="0"/>
          <w:strike w:val="0"/>
          <w:u w:val="single"/>
        </w:rPr>
        <w:t xml:space="preserve"> in Europe </w:t>
      </w:r>
      <w:r>
        <w:rPr>
          <w:b w:val="0"/>
          <w:i w:val="0"/>
          <w:smallCaps w:val="0"/>
          <w:strike w:val="0"/>
          <w:highlight w:val="green"/>
          <w:u w:val="single"/>
        </w:rPr>
        <w:t>select the focus of their research</w:t>
      </w:r>
      <w:r>
        <w:rPr>
          <w:b w:val="0"/>
          <w:i w:val="0"/>
          <w:smallCaps w:val="0"/>
          <w:strike w:val="0"/>
          <w:u w:val="single"/>
        </w:rPr>
        <w:t xml:space="preserve">, </w:t>
      </w:r>
      <w:r>
        <w:rPr>
          <w:b w:val="0"/>
          <w:i w:val="0"/>
          <w:smallCaps w:val="0"/>
          <w:strike w:val="0"/>
          <w:highlight w:val="green"/>
          <w:u w:val="single"/>
        </w:rPr>
        <w:t>it is</w:t>
      </w:r>
      <w:r>
        <w:rPr>
          <w:b w:val="0"/>
          <w:i w:val="0"/>
          <w:smallCaps w:val="0"/>
          <w:strike w:val="0"/>
          <w:highlight w:val="green"/>
          <w:u w:val="single"/>
        </w:rPr>
        <w:t xml:space="preserve"> also political economic realities and the constraints of </w:t>
      </w:r>
      <w:r>
        <w:rPr>
          <w:b w:val="0"/>
          <w:i w:val="0"/>
          <w:smallCaps w:val="0"/>
          <w:strike w:val="0"/>
          <w:u w:val="single"/>
        </w:rPr>
        <w:t xml:space="preserve">requiring various forms of </w:t>
      </w:r>
      <w:r>
        <w:rPr>
          <w:b w:val="0"/>
          <w:i w:val="0"/>
          <w:smallCaps w:val="0"/>
          <w:strike w:val="0"/>
          <w:highlight w:val="green"/>
          <w:u w:val="single"/>
        </w:rPr>
        <w:t>institutional permission</w:t>
      </w:r>
      <w:r>
        <w:rPr>
          <w:b w:val="0"/>
          <w:i w:val="0"/>
          <w:smallCaps w:val="0"/>
          <w:strike w:val="0"/>
          <w:u w:val="single"/>
        </w:rPr>
        <w:t xml:space="preserve">. </w:t>
      </w:r>
      <w:r>
        <w:rPr>
          <w:b w:val="0"/>
          <w:i w:val="0"/>
          <w:smallCaps w:val="0"/>
          <w:strike w:val="0"/>
          <w:highlight w:val="green"/>
          <w:u w:val="single"/>
        </w:rPr>
        <w:t>These</w:t>
      </w:r>
      <w:r>
        <w:rPr>
          <w:b w:val="0"/>
          <w:i w:val="0"/>
          <w:smallCaps w:val="0"/>
          <w:strike w:val="0"/>
          <w:u w:val="single"/>
        </w:rPr>
        <w:t xml:space="preserve"> </w:t>
      </w:r>
      <w:r>
        <w:rPr>
          <w:b w:val="0"/>
          <w:i w:val="0"/>
          <w:smallCaps w:val="0"/>
          <w:strike w:val="0"/>
          <w:highlight w:val="green"/>
          <w:u w:val="single"/>
        </w:rPr>
        <w:t>realities shape the body of feminist literature on</w:t>
      </w:r>
      <w:r>
        <w:rPr>
          <w:b w:val="0"/>
          <w:i w:val="0"/>
          <w:smallCaps w:val="0"/>
          <w:strike w:val="0"/>
          <w:u w:val="single"/>
        </w:rPr>
        <w:t xml:space="preserve"> war and </w:t>
      </w:r>
      <w:r>
        <w:rPr>
          <w:b w:val="0"/>
          <w:i w:val="0"/>
          <w:smallCaps w:val="0"/>
          <w:strike w:val="0"/>
          <w:highlight w:val="green"/>
          <w:u w:val="single"/>
        </w:rPr>
        <w:t xml:space="preserve">militarism that is produced across Europe in powerful, </w:t>
      </w:r>
      <w:r>
        <w:rPr>
          <w:b w:val="0"/>
          <w:i w:val="0"/>
          <w:smallCaps w:val="0"/>
          <w:strike w:val="0"/>
          <w:u w:val="single"/>
        </w:rPr>
        <w:t xml:space="preserve">if usually unseen, </w:t>
      </w:r>
      <w:r>
        <w:rPr>
          <w:b w:val="0"/>
          <w:i w:val="0"/>
          <w:smallCaps w:val="0"/>
          <w:strike w:val="0"/>
          <w:highlight w:val="green"/>
          <w:u w:val="single"/>
        </w:rPr>
        <w:t>ways.</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