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expand technical AI safety research funding</w:t>
      </w:r>
    </w:p>
    <w:p>
      <w:pPr>
        <w:spacing w:after="80"/>
      </w:pPr>
      <w:r>
        <w:rPr>
          <w:b/>
          <w:i w:val="0"/>
          <w:smallCaps w:val="0"/>
          <w:strike w:val="0"/>
          <w:sz w:val="26"/>
          <w:u w:val="none"/>
        </w:rPr>
        <w:t>Future of Life ’23</w:t>
      </w:r>
      <w:r>
        <w:rPr>
          <w:b w:val="0"/>
          <w:i w:val="0"/>
          <w:smallCaps w:val="0"/>
          <w:strike w:val="0"/>
          <w:sz w:val="16"/>
          <w:u w:val="none"/>
        </w:rPr>
        <w:t xml:space="preserve"> [Future of Life; Nonprofit organization which aims to steer transformative technology towards benefiting life and away from large-scale risks, with a focus on existential risk from advanced artificial intelligence; 04-12-2023; "Policymaking </w:t>
      </w:r>
      <w:r>
        <w:rPr>
          <w:b w:val="0"/>
          <w:i w:val="0"/>
          <w:smallCaps w:val="0"/>
          <w:strike w:val="0"/>
          <w:sz w:val="16"/>
          <w:u w:val="none"/>
        </w:rPr>
        <w:t>In</w:t>
      </w:r>
      <w:r>
        <w:rPr>
          <w:b w:val="0"/>
          <w:i w:val="0"/>
          <w:smallCaps w:val="0"/>
          <w:strike w:val="0"/>
          <w:sz w:val="16"/>
          <w:u w:val="none"/>
        </w:rPr>
        <w:t xml:space="preserve"> The Pause"; Future of Life Institute; https://futureoflife.org/document/policymaking-in-the-pause/; Accessed 7-17-2024] </w:t>
      </w:r>
      <w:r>
        <w:rPr>
          <w:b w:val="0"/>
          <w:i w:val="0"/>
          <w:smallCaps w:val="0"/>
          <w:strike w:val="0"/>
          <w:sz w:val="16"/>
          <w:u w:val="none"/>
        </w:rPr>
        <w:t>KL</w:t>
      </w:r>
    </w:p>
    <w:p>
      <w:pPr>
        <w:spacing w:after="60"/>
      </w:pPr>
      <w:r>
        <w:rPr>
          <w:b w:val="0"/>
          <w:i w:val="0"/>
          <w:smallCaps w:val="0"/>
          <w:strike w:val="0"/>
          <w:sz w:val="16"/>
          <w:u w:val="single"/>
        </w:rPr>
        <w:t>The private sector under-invests in research that ensures that AI systems are safe and secure.</w:t>
      </w:r>
      <w:r>
        <w:rPr>
          <w:b w:val="0"/>
          <w:i w:val="0"/>
          <w:smallCaps w:val="0"/>
          <w:strike w:val="0"/>
          <w:sz w:val="16"/>
          <w:u w:val="none"/>
        </w:rPr>
        <w:t xml:space="preserve"> Despite nearly USD 100 billion of private investment in AI in 2022 alone, </w:t>
      </w:r>
      <w:r>
        <w:rPr>
          <w:b w:val="0"/>
          <w:i w:val="0"/>
          <w:smallCaps w:val="0"/>
          <w:strike w:val="0"/>
          <w:sz w:val="16"/>
          <w:u w:val="single"/>
        </w:rPr>
        <w:t>it is estimated that only about 100 full-time researchers worldwide are specifically working to ensure AI is safe and properly aligned with human values and intentions.</w:t>
      </w:r>
      <w:r>
        <w:rPr>
          <w:b w:val="0"/>
          <w:i w:val="0"/>
          <w:smallCaps w:val="0"/>
          <w:strike w:val="0"/>
          <w:sz w:val="16"/>
          <w:u w:val="none"/>
        </w:rPr>
        <w:t>24</w:t>
      </w:r>
    </w:p>
    <w:p>
      <w:pPr>
        <w:spacing w:after="60"/>
      </w:pPr>
      <w:r>
        <w:rPr>
          <w:b w:val="0"/>
          <w:i w:val="0"/>
          <w:smallCaps w:val="0"/>
          <w:strike w:val="0"/>
          <w:sz w:val="16"/>
          <w:u w:val="single"/>
        </w:rPr>
        <w:t>In recent months, companies developing the most powerful AI systems have either downsized or entirely abolished their respective ‘responsible AI’ teams.</w:t>
      </w:r>
      <w:r>
        <w:rPr>
          <w:b w:val="0"/>
          <w:i w:val="0"/>
          <w:smallCaps w:val="0"/>
          <w:strike w:val="0"/>
          <w:sz w:val="16"/>
          <w:u w:val="none"/>
        </w:rPr>
        <w:t>25 While this partly reflects a broader trend of mass layoffs across the technology sector, it nonetheless reveals the relative de-prioritization of safety and ethics considerations in the race to put new systems on the market.</w:t>
      </w:r>
    </w:p>
    <w:p>
      <w:pPr>
        <w:spacing w:after="60"/>
      </w:pPr>
      <w:r>
        <w:rPr>
          <w:b w:val="0"/>
          <w:i w:val="0"/>
          <w:smallCaps w:val="0"/>
          <w:strike w:val="0"/>
          <w:sz w:val="16"/>
          <w:u w:val="single"/>
        </w:rPr>
        <w:t>Governments have also invested in AI safety and ethics research, but these investments have primarily focused on narrow applications rather than on the impact of more general AI systems like those that have recently been released by the private sector.</w:t>
      </w:r>
      <w:r>
        <w:rPr>
          <w:b w:val="0"/>
          <w:i w:val="0"/>
          <w:smallCaps w:val="0"/>
          <w:strike w:val="0"/>
          <w:sz w:val="16"/>
          <w:u w:val="none"/>
        </w:rPr>
        <w:t xml:space="preserve"> The US National Science Foundation (NSF), for example, has established ‘AI Research Institutes’ across a broad range of disciplines. However, none of these institutes are specifically working on the large-scale, societal, or aggregate risks presented by powerful AI systems.</w:t>
      </w:r>
    </w:p>
    <w:p>
      <w:pPr>
        <w:spacing w:after="60"/>
      </w:pPr>
      <w:r>
        <w:rPr>
          <w:b w:val="0"/>
          <w:i w:val="0"/>
          <w:smallCaps w:val="0"/>
          <w:strike w:val="0"/>
          <w:sz w:val="16"/>
          <w:u w:val="single"/>
        </w:rPr>
        <w:t>To ensure that our capacity to control AI systems keeps pace with the growing risk that they pose, we recommend a significant increase in public funding for technical AI safety research in the following research domains:</w:t>
      </w:r>
    </w:p>
    <w:p>
      <w:pPr>
        <w:spacing w:after="60"/>
      </w:pPr>
      <w:r>
        <w:rPr>
          <w:b/>
          <w:i w:val="0"/>
          <w:smallCaps w:val="0"/>
          <w:strike w:val="0"/>
          <w:sz w:val="22"/>
          <w:u w:val="single"/>
        </w:rPr>
        <w:t>Alignment</w:t>
      </w:r>
      <w:r>
        <w:rPr>
          <w:b w:val="0"/>
          <w:i w:val="0"/>
          <w:smallCaps w:val="0"/>
          <w:strike w:val="0"/>
          <w:sz w:val="16"/>
          <w:u w:val="single"/>
        </w:rPr>
        <w:t>: development of technical mechanisms for ensuring AI systems learn and perform in accordance with intended expectations, intentions, and values.</w:t>
      </w:r>
    </w:p>
    <w:p>
      <w:pPr>
        <w:spacing w:after="60"/>
      </w:pPr>
      <w:r>
        <w:rPr>
          <w:b/>
          <w:i w:val="0"/>
          <w:smallCaps w:val="0"/>
          <w:strike w:val="0"/>
          <w:sz w:val="22"/>
          <w:u w:val="single"/>
        </w:rPr>
        <w:t>Robustness and assurance</w:t>
      </w:r>
      <w:r>
        <w:rPr>
          <w:b w:val="0"/>
          <w:i w:val="0"/>
          <w:smallCaps w:val="0"/>
          <w:strike w:val="0"/>
          <w:sz w:val="16"/>
          <w:u w:val="single"/>
        </w:rPr>
        <w:t>: design features to ensure that AI systems responsible for critical functions</w:t>
      </w:r>
      <w:r>
        <w:rPr>
          <w:b w:val="0"/>
          <w:i w:val="0"/>
          <w:smallCaps w:val="0"/>
          <w:strike w:val="0"/>
          <w:sz w:val="16"/>
          <w:u w:val="none"/>
        </w:rPr>
        <w:t xml:space="preserve">26 </w:t>
      </w:r>
      <w:r>
        <w:rPr>
          <w:b w:val="0"/>
          <w:i w:val="0"/>
          <w:smallCaps w:val="0"/>
          <w:strike w:val="0"/>
          <w:sz w:val="16"/>
          <w:u w:val="single"/>
        </w:rPr>
        <w:t>can perform reliably in unexpected circumstances, and that their performance can be evaluated by their operators.</w:t>
      </w:r>
    </w:p>
    <w:p>
      <w:pPr>
        <w:spacing w:after="60"/>
      </w:pPr>
      <w:r>
        <w:rPr>
          <w:b/>
          <w:i w:val="0"/>
          <w:smallCaps w:val="0"/>
          <w:strike w:val="0"/>
          <w:sz w:val="22"/>
          <w:u w:val="single"/>
        </w:rPr>
        <w:t>Explainability and interpretability</w:t>
      </w:r>
      <w:r>
        <w:rPr>
          <w:b w:val="0"/>
          <w:i w:val="0"/>
          <w:smallCaps w:val="0"/>
          <w:strike w:val="0"/>
          <w:sz w:val="16"/>
          <w:u w:val="single"/>
        </w:rPr>
        <w:t>: develop mechanisms for opaque models to report the internal logic used to produce output or make decisions in understandable ways. More explainable and interpretable AI systems facilitate better evaluations of whether output can be trusted.</w:t>
      </w:r>
    </w:p>
    <w:p>
      <w:pPr>
        <w:spacing w:after="60"/>
      </w:pPr>
      <w:r>
        <w:rPr>
          <w:b w:val="0"/>
          <w:i w:val="0"/>
          <w:smallCaps w:val="0"/>
          <w:strike w:val="0"/>
          <w:sz w:val="16"/>
          <w:u w:val="none"/>
        </w:rPr>
        <w:t xml:space="preserve">In the past few months, experts such as the former Special Advisor to the UK Prime Minister on Science and Technology James W. Phillips27 and </w:t>
      </w:r>
      <w:r>
        <w:rPr>
          <w:b w:val="0"/>
          <w:i w:val="0"/>
          <w:smallCaps w:val="0"/>
          <w:strike w:val="0"/>
          <w:sz w:val="16"/>
          <w:u w:val="single"/>
        </w:rPr>
        <w:t>a Congressionally-established US taskforce have called for the creation of national AI labs as ‘a shared research infrastructure that would provide AI researchers and students with significantly expanded access to computational resources, high-quality data, educational tools, and user support.</w:t>
      </w:r>
      <w:r>
        <w:rPr>
          <w:b w:val="0"/>
          <w:i w:val="0"/>
          <w:smallCaps w:val="0"/>
          <w:strike w:val="0"/>
          <w:sz w:val="16"/>
          <w:u w:val="none"/>
        </w:rPr>
        <w:t xml:space="preserve">’28 </w:t>
      </w:r>
      <w:r>
        <w:rPr>
          <w:b w:val="0"/>
          <w:i w:val="0"/>
          <w:smallCaps w:val="0"/>
          <w:strike w:val="0"/>
          <w:sz w:val="16"/>
          <w:u w:val="single"/>
        </w:rPr>
        <w:t>Should governments move forward with this concept, we propose that at least 25% of resources made available through these labs be explicitly allocated to technical AI safety projects.</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