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develop standards for identifying and managing AI-generated content and recommendations.</w:t>
      </w:r>
    </w:p>
    <w:p>
      <w:pPr>
        <w:spacing w:after="80"/>
      </w:pPr>
      <w:r>
        <w:rPr>
          <w:b/>
          <w:i w:val="0"/>
          <w:smallCaps w:val="0"/>
          <w:strike w:val="0"/>
          <w:sz w:val="26"/>
          <w:u w:val="none"/>
        </w:rPr>
        <w:t>Future of Life ’23</w:t>
      </w:r>
      <w:r>
        <w:rPr>
          <w:b w:val="0"/>
          <w:i w:val="0"/>
          <w:smallCaps w:val="0"/>
          <w:strike w:val="0"/>
          <w:sz w:val="16"/>
          <w:u w:val="none"/>
        </w:rPr>
        <w:t xml:space="preserve"> [Future of Life; Nonprofit organization which aims to steer transformative technology towards benefiting life and away from large-scale risks, with a focus on existential risk from advanced artificial intelligence; 04-12-2023; "Policymaking </w:t>
      </w:r>
      <w:r>
        <w:rPr>
          <w:b w:val="0"/>
          <w:i w:val="0"/>
          <w:smallCaps w:val="0"/>
          <w:strike w:val="0"/>
          <w:sz w:val="16"/>
          <w:u w:val="none"/>
        </w:rPr>
        <w:t>In</w:t>
      </w:r>
      <w:r>
        <w:rPr>
          <w:b w:val="0"/>
          <w:i w:val="0"/>
          <w:smallCaps w:val="0"/>
          <w:strike w:val="0"/>
          <w:sz w:val="16"/>
          <w:u w:val="none"/>
        </w:rPr>
        <w:t xml:space="preserve"> The Pause"; Future of Life Institute; https://futureoflife.org/document/policymaking-in-the-pause/; Accessed 7-17-2024] </w:t>
      </w:r>
      <w:r>
        <w:rPr>
          <w:b w:val="0"/>
          <w:i w:val="0"/>
          <w:smallCaps w:val="0"/>
          <w:strike w:val="0"/>
          <w:sz w:val="16"/>
          <w:u w:val="none"/>
        </w:rPr>
        <w:t>KL</w:t>
      </w:r>
    </w:p>
    <w:p>
      <w:pPr>
        <w:spacing w:after="60"/>
      </w:pPr>
      <w:r>
        <w:rPr>
          <w:b w:val="0"/>
          <w:i w:val="0"/>
          <w:smallCaps w:val="0"/>
          <w:strike w:val="0"/>
          <w:sz w:val="16"/>
          <w:u w:val="single"/>
        </w:rPr>
        <w:t>The need to distinguish real from synthetic media and factual content from ‘hallucinations’ is essential for maintaining the shared factual foundations underpinning social cohesion.</w:t>
      </w:r>
      <w:r>
        <w:rPr>
          <w:b w:val="0"/>
          <w:i w:val="0"/>
          <w:smallCaps w:val="0"/>
          <w:strike w:val="0"/>
          <w:sz w:val="16"/>
          <w:u w:val="none"/>
        </w:rPr>
        <w:t xml:space="preserve"> Advances in generative AI have made it more difficult to distinguish between AI-generated media and real images, audio, and video recordings. Already we have seen AI-generated voice technology used in financial scams.29</w:t>
      </w:r>
    </w:p>
    <w:p>
      <w:pPr>
        <w:spacing w:after="60"/>
      </w:pPr>
      <w:r>
        <w:rPr>
          <w:b w:val="0"/>
          <w:i w:val="0"/>
          <w:smallCaps w:val="0"/>
          <w:strike w:val="0"/>
          <w:sz w:val="16"/>
          <w:u w:val="single"/>
        </w:rPr>
        <w:t>Creators of the most powerful AI systems have acknowledged that these systems can produce convincing textual responses that rely on completely fabricated or out-of-context information.</w:t>
      </w:r>
      <w:r>
        <w:rPr>
          <w:b w:val="0"/>
          <w:i w:val="0"/>
          <w:smallCaps w:val="0"/>
          <w:strike w:val="0"/>
          <w:sz w:val="16"/>
          <w:u w:val="none"/>
        </w:rPr>
        <w:t xml:space="preserve">30 </w:t>
      </w:r>
      <w:r>
        <w:rPr>
          <w:b w:val="0"/>
          <w:i w:val="0"/>
          <w:smallCaps w:val="0"/>
          <w:strike w:val="0"/>
          <w:sz w:val="16"/>
          <w:u w:val="single"/>
        </w:rPr>
        <w:t>For society to absorb these new technologies, we will need effective tools that allow the public to evaluate the authenticity and veracity of the content they consume.</w:t>
      </w:r>
    </w:p>
    <w:p>
      <w:pPr>
        <w:spacing w:after="60"/>
      </w:pPr>
      <w:r>
        <w:rPr>
          <w:b w:val="0"/>
          <w:i w:val="0"/>
          <w:smallCaps w:val="0"/>
          <w:strike w:val="0"/>
          <w:sz w:val="16"/>
          <w:u w:val="single"/>
        </w:rPr>
        <w:t xml:space="preserve">We recommend increased funding for research into techniques, and development of standards, for digital content provenance. This research, and its associated standards, should ensure that a reasonable person can determine whether content published online is of synthetic or natural origin, and whether the content has been digitally modified, in a manner that protects the privacy and expressive rights of its creator.  </w:t>
      </w:r>
    </w:p>
    <w:p>
      <w:pPr>
        <w:spacing w:after="60"/>
      </w:pPr>
      <w:r>
        <w:rPr>
          <w:b w:val="0"/>
          <w:i w:val="0"/>
          <w:smallCaps w:val="0"/>
          <w:strike w:val="0"/>
          <w:sz w:val="16"/>
          <w:u w:val="single"/>
        </w:rPr>
        <w:t>We also recommend the expansion of ‘bot-or-not’ laws that require disclosure when a person is interacting with a chatbot.</w:t>
      </w:r>
      <w:r>
        <w:rPr>
          <w:b w:val="0"/>
          <w:i w:val="0"/>
          <w:smallCaps w:val="0"/>
          <w:strike w:val="0"/>
          <w:sz w:val="16"/>
          <w:u w:val="none"/>
        </w:rPr>
        <w:t xml:space="preserve"> These laws help prevent users from being deceived or manipulated by AI systems impersonating </w:t>
      </w:r>
      <w:r>
        <w:rPr>
          <w:b w:val="0"/>
          <w:i w:val="0"/>
          <w:smallCaps w:val="0"/>
          <w:strike w:val="0"/>
          <w:sz w:val="16"/>
          <w:u w:val="none"/>
        </w:rPr>
        <w:t>humans, and</w:t>
      </w:r>
      <w:r>
        <w:rPr>
          <w:b w:val="0"/>
          <w:i w:val="0"/>
          <w:smallCaps w:val="0"/>
          <w:strike w:val="0"/>
          <w:sz w:val="16"/>
          <w:u w:val="none"/>
        </w:rPr>
        <w:t xml:space="preserve"> facilitate contextualizing the source of the information. The draft EU AI Act requires that AI systems be designed such that users are informed they are interacting with an AI system,31 and the US State of California enacted a similar bot disclosure law in 2019.32 Almost all of the world’s nations, through the adoption of a UNESCO agreement on the ethics of AI, have recognized33 ‘the right of users to easily identify whether they are interacting with a living being, or with an AI system imitating human or animal characteristics.’ We recommend that all governments convert this agreement into hard law to avoid fraudulent representations of natural personhood by AI from outside regulated jurisdictions.</w:t>
      </w:r>
    </w:p>
    <w:p>
      <w:pPr>
        <w:spacing w:after="60"/>
      </w:pPr>
      <w:r>
        <w:rPr>
          <w:b w:val="0"/>
          <w:i w:val="0"/>
          <w:smallCaps w:val="0"/>
          <w:strike w:val="0"/>
          <w:sz w:val="16"/>
          <w:u w:val="none"/>
        </w:rPr>
        <w:t xml:space="preserve">Even if a user knows they are interacting with an AI system, they may not know when that system is prioritizing the interests of the developer or deployer over the user. These systems may appear to be acting in the user’s </w:t>
      </w:r>
      <w:r>
        <w:rPr>
          <w:b w:val="0"/>
          <w:i w:val="0"/>
          <w:smallCaps w:val="0"/>
          <w:strike w:val="0"/>
          <w:sz w:val="16"/>
          <w:u w:val="none"/>
        </w:rPr>
        <w:t>interest, but</w:t>
      </w:r>
      <w:r>
        <w:rPr>
          <w:b w:val="0"/>
          <w:i w:val="0"/>
          <w:smallCaps w:val="0"/>
          <w:strike w:val="0"/>
          <w:sz w:val="16"/>
          <w:u w:val="none"/>
        </w:rPr>
        <w:t xml:space="preserve"> could be designed or employed to serve other functions.  For instance, the developer of a general-purpose AI system could be financially incentivized to design the system such that when asked about a product, it preferentially recommends a certain brand, when asked to book a flight, it subtly prefers a certain airline, when asked for news, it provides only media advocating specific viewpoints, and when asked for medical advice, it prioritizes diagnoses that are treated with more profitable pharmaceutical drugs. These preferences could in many cases come at the expense of the end user’s mental, physical, or financial well-being.</w:t>
      </w:r>
    </w:p>
    <w:p>
      <w:pPr>
        <w:spacing w:after="60"/>
      </w:pPr>
      <w:r>
        <w:rPr>
          <w:b w:val="0"/>
          <w:i w:val="0"/>
          <w:smallCaps w:val="0"/>
          <w:strike w:val="0"/>
          <w:sz w:val="16"/>
          <w:u w:val="none"/>
        </w:rPr>
        <w:t>Many jurisdictions require that sponsored content be clearly labeled, but because the provenance of output from complex general-purpose AI systems is remarkably opaque, these laws may not apply. We therefore recommend, at a minimum, that conflict-of-interest trade-offs should be clearly communicated to end users along with any affected output; ideally, laws and industry standards should be implemented that require AI systems to be designed and deployed with a duty to prioritize the best interests of the end user.</w:t>
      </w:r>
    </w:p>
    <w:p>
      <w:pPr>
        <w:spacing w:after="60"/>
      </w:pPr>
      <w:r>
        <w:rPr>
          <w:b w:val="0"/>
          <w:i w:val="0"/>
          <w:smallCaps w:val="0"/>
          <w:strike w:val="0"/>
          <w:sz w:val="16"/>
          <w:u w:val="none"/>
        </w:rPr>
        <w:t>Finally, we recommend the establishment of laws and industry standards clarifying and the fulfillment of ‘duty of loyalty’ and ‘duty of care’ when AI is used in the place of or in assistance to a human fiduciary. In some circumstances – for instance, financial advice and legal counsel – human actors are legally obligated to act in the best interest of their clients and to exercise due care to minimize harmful outcomes. AI systems are increasingly being deployed to advise on these types of decisions or to make them (e.g. trading stocks) independent of human input. Laws and standards towards this end should require that if an AI system is to contribute to the decision-making of a fiduciary, the fiduciary must be able to demonstrate beyond a reasonable doubt that the AI system will observe duties of loyalty and care comparable to their human counterparts. Otherwise, any breach of these fiduciary responsibilities should be attributed to the human fiduciary employing the AI system.</w:t>
      </w:r>
    </w:p>
    <w:p>
      <w:pPr>
        <w:pStyle w:val="Caption"/>
      </w:pPr>
      <w:r>
        <w:t>Source: Advantage Counterplans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