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Regulation fails – other countries already control the AI regulation discussion.</w:t>
      </w:r>
    </w:p>
    <w:p>
      <w:pPr>
        <w:spacing w:after="80"/>
      </w:pPr>
      <w:r>
        <w:rPr>
          <w:b/>
          <w:i w:val="0"/>
          <w:smallCaps w:val="0"/>
          <w:strike w:val="0"/>
          <w:sz w:val="26"/>
          <w:u w:val="none"/>
        </w:rPr>
        <w:t>Wheeler</w:t>
      </w:r>
      <w:r>
        <w:rPr>
          <w:b/>
          <w:i w:val="0"/>
          <w:smallCaps w:val="0"/>
          <w:strike w:val="0"/>
          <w:sz w:val="26"/>
          <w:u w:val="none"/>
        </w:rPr>
        <w:t xml:space="preserve"> ‘23 </w:t>
      </w:r>
      <w:r>
        <w:rPr>
          <w:b w:val="0"/>
          <w:i w:val="0"/>
          <w:smallCaps w:val="0"/>
          <w:strike w:val="0"/>
          <w:sz w:val="16"/>
          <w:u w:val="none"/>
        </w:rPr>
        <w:t>[Tom; June 15; V</w:t>
      </w:r>
      <w:r>
        <w:rPr>
          <w:b w:val="0"/>
          <w:i w:val="0"/>
          <w:smallCaps w:val="0"/>
          <w:strike w:val="0"/>
          <w:sz w:val="16"/>
          <w:u w:val="none"/>
        </w:rPr>
        <w:t xml:space="preserve">isiting fellow in Governance Studies at Brookings. </w:t>
      </w:r>
      <w:r>
        <w:rPr>
          <w:b w:val="0"/>
          <w:i w:val="0"/>
          <w:smallCaps w:val="0"/>
          <w:strike w:val="0"/>
          <w:sz w:val="16"/>
          <w:u w:val="none"/>
        </w:rPr>
        <w:t>B</w:t>
      </w:r>
      <w:r>
        <w:rPr>
          <w:b w:val="0"/>
          <w:i w:val="0"/>
          <w:smallCaps w:val="0"/>
          <w:strike w:val="0"/>
          <w:sz w:val="16"/>
          <w:u w:val="none"/>
        </w:rPr>
        <w:t>usinessman, author, and was chairman of the Federal Communications Commission (FCC) from 2013 to 2017. For over four decades, has been involved with new telecommunications networks and service</w:t>
      </w:r>
      <w:r>
        <w:rPr>
          <w:b w:val="0"/>
          <w:i w:val="0"/>
          <w:smallCaps w:val="0"/>
          <w:strike w:val="0"/>
          <w:sz w:val="16"/>
          <w:u w:val="none"/>
        </w:rPr>
        <w:t>s; Brookings, “</w:t>
      </w:r>
      <w:r>
        <w:rPr>
          <w:b w:val="0"/>
          <w:i w:val="0"/>
          <w:smallCaps w:val="0"/>
          <w:strike w:val="0"/>
          <w:sz w:val="16"/>
          <w:u w:val="none"/>
        </w:rPr>
        <w:t>The three challenges of AI regulation</w:t>
      </w:r>
      <w:r>
        <w:rPr>
          <w:b w:val="0"/>
          <w:i w:val="0"/>
          <w:smallCaps w:val="0"/>
          <w:strike w:val="0"/>
          <w:sz w:val="16"/>
          <w:u w:val="none"/>
        </w:rPr>
        <w:t xml:space="preserve">,” </w:t>
      </w:r>
      <w:r>
        <w:rPr>
          <w:b w:val="0"/>
          <w:i w:val="0"/>
          <w:smallCaps w:val="0"/>
          <w:strike w:val="0"/>
          <w:sz w:val="16"/>
          <w:u w:val="none"/>
        </w:rPr>
        <w:t>https://www.brookings.edu/articles/the-three-challenges-of-ai-regulation/</w:t>
      </w:r>
      <w:r>
        <w:rPr>
          <w:b w:val="0"/>
          <w:i w:val="0"/>
          <w:smallCaps w:val="0"/>
          <w:strike w:val="0"/>
          <w:sz w:val="16"/>
          <w:u w:val="none"/>
        </w:rPr>
        <w:t>]//av</w:t>
      </w:r>
    </w:p>
    <w:p>
      <w:pPr>
        <w:spacing w:after="60"/>
      </w:pPr>
      <w:r>
        <w:rPr>
          <w:b w:val="0"/>
          <w:i w:val="0"/>
          <w:smallCaps w:val="0"/>
          <w:strike w:val="0"/>
          <w:sz w:val="16"/>
          <w:u w:val="none"/>
        </w:rPr>
        <w:t xml:space="preserve">In a comparable manner, </w:t>
      </w:r>
      <w:r>
        <w:rPr>
          <w:b w:val="0"/>
          <w:i w:val="0"/>
          <w:smallCaps w:val="0"/>
          <w:strike w:val="0"/>
          <w:sz w:val="22"/>
          <w:u w:val="single"/>
        </w:rPr>
        <w:t xml:space="preserve">there is a </w:t>
      </w:r>
      <w:r>
        <w:rPr>
          <w:b/>
          <w:i w:val="0"/>
          <w:smallCaps w:val="0"/>
          <w:strike w:val="0"/>
          <w:sz w:val="22"/>
          <w:u w:val="single"/>
        </w:rPr>
        <w:t>first mover advantage to regulation</w:t>
      </w:r>
      <w:r>
        <w:rPr>
          <w:b w:val="0"/>
          <w:i w:val="0"/>
          <w:smallCaps w:val="0"/>
          <w:strike w:val="0"/>
          <w:sz w:val="16"/>
          <w:u w:val="none"/>
        </w:rPr>
        <w:t xml:space="preserve">. Thanks in large part to the interconnected nature of 21st century networks, the </w:t>
      </w:r>
      <w:r>
        <w:rPr>
          <w:b w:val="0"/>
          <w:i w:val="0"/>
          <w:smallCaps w:val="0"/>
          <w:strike w:val="0"/>
          <w:sz w:val="22"/>
          <w:u w:val="single"/>
        </w:rPr>
        <w:t xml:space="preserve">government that establishes the </w:t>
      </w:r>
      <w:r>
        <w:rPr>
          <w:b/>
          <w:i w:val="0"/>
          <w:smallCaps w:val="0"/>
          <w:strike w:val="0"/>
          <w:sz w:val="22"/>
          <w:u w:val="single"/>
        </w:rPr>
        <w:t>first</w:t>
      </w:r>
      <w:r>
        <w:rPr>
          <w:b w:val="0"/>
          <w:i w:val="0"/>
          <w:smallCaps w:val="0"/>
          <w:strike w:val="0"/>
          <w:sz w:val="22"/>
          <w:u w:val="single"/>
        </w:rPr>
        <w:t xml:space="preserve"> set of </w:t>
      </w:r>
      <w:r>
        <w:rPr>
          <w:b/>
          <w:i w:val="0"/>
          <w:smallCaps w:val="0"/>
          <w:strike w:val="0"/>
          <w:sz w:val="22"/>
          <w:u w:val="single"/>
        </w:rPr>
        <w:t>rules defines the discussion</w:t>
      </w:r>
      <w:r>
        <w:rPr>
          <w:b w:val="0"/>
          <w:i w:val="0"/>
          <w:smallCaps w:val="0"/>
          <w:strike w:val="0"/>
          <w:sz w:val="16"/>
          <w:u w:val="none"/>
        </w:rPr>
        <w:t xml:space="preserve"> from that point forward for all nations. The classic example of this is the European Union’s 2108 General Data Protection Regulation (GDPR), which has become the standard for privacy policy around the world.</w:t>
      </w:r>
    </w:p>
    <w:p>
      <w:pPr>
        <w:spacing w:after="60"/>
      </w:pPr>
      <w:r>
        <w:rPr>
          <w:b w:val="0"/>
          <w:i w:val="0"/>
          <w:smallCaps w:val="0"/>
          <w:strike w:val="0"/>
          <w:sz w:val="16"/>
          <w:u w:val="none"/>
        </w:rPr>
        <w:t xml:space="preserve">Once again it appears as though </w:t>
      </w:r>
      <w:r>
        <w:rPr>
          <w:b w:val="0"/>
          <w:i w:val="0"/>
          <w:smallCaps w:val="0"/>
          <w:strike w:val="0"/>
          <w:sz w:val="22"/>
          <w:u w:val="single"/>
        </w:rPr>
        <w:t xml:space="preserve">the </w:t>
      </w:r>
      <w:r>
        <w:rPr>
          <w:b/>
          <w:i w:val="0"/>
          <w:smallCaps w:val="0"/>
          <w:strike w:val="0"/>
          <w:sz w:val="22"/>
          <w:u w:val="single"/>
        </w:rPr>
        <w:t>EU</w:t>
      </w:r>
      <w:r>
        <w:rPr>
          <w:b w:val="0"/>
          <w:i w:val="0"/>
          <w:smallCaps w:val="0"/>
          <w:strike w:val="0"/>
          <w:sz w:val="16"/>
          <w:u w:val="none"/>
        </w:rPr>
        <w:t xml:space="preserve">, which has been in the lead in establishing digital platform policy with its Digital Markets Act and Digital Services Act, </w:t>
      </w:r>
      <w:r>
        <w:rPr>
          <w:b w:val="0"/>
          <w:i w:val="0"/>
          <w:smallCaps w:val="0"/>
          <w:strike w:val="0"/>
          <w:sz w:val="22"/>
          <w:u w:val="single"/>
        </w:rPr>
        <w:t xml:space="preserve">is also </w:t>
      </w:r>
      <w:r>
        <w:rPr>
          <w:b/>
          <w:i w:val="0"/>
          <w:smallCaps w:val="0"/>
          <w:strike w:val="0"/>
          <w:sz w:val="22"/>
          <w:u w:val="single"/>
        </w:rPr>
        <w:t>in the lead</w:t>
      </w:r>
      <w:r>
        <w:rPr>
          <w:b w:val="0"/>
          <w:i w:val="0"/>
          <w:smallCaps w:val="0"/>
          <w:strike w:val="0"/>
          <w:sz w:val="22"/>
          <w:u w:val="single"/>
        </w:rPr>
        <w:t xml:space="preserve"> on establishing AI policy</w:t>
      </w:r>
      <w:r>
        <w:rPr>
          <w:b w:val="0"/>
          <w:i w:val="0"/>
          <w:smallCaps w:val="0"/>
          <w:strike w:val="0"/>
          <w:sz w:val="16"/>
          <w:u w:val="none"/>
        </w:rPr>
        <w:t xml:space="preserve">. On June 14 the European Parliament overwhelmingly approved the AI Act. </w:t>
      </w:r>
      <w:r>
        <w:rPr>
          <w:b w:val="0"/>
          <w:i w:val="0"/>
          <w:smallCaps w:val="0"/>
          <w:strike w:val="0"/>
          <w:sz w:val="22"/>
          <w:u w:val="single"/>
        </w:rPr>
        <w:t>Following its adoption, the regulatory machinery of the European Commission will begin developing enforceable policies</w:t>
      </w:r>
      <w:r>
        <w:rPr>
          <w:b w:val="0"/>
          <w:i w:val="0"/>
          <w:smallCaps w:val="0"/>
          <w:strike w:val="0"/>
          <w:sz w:val="16"/>
          <w:u w:val="none"/>
        </w:rPr>
        <w:t>.</w:t>
      </w:r>
    </w:p>
    <w:p>
      <w:pPr>
        <w:spacing w:after="60"/>
      </w:pPr>
      <w:r>
        <w:rPr>
          <w:b w:val="0"/>
          <w:i w:val="0"/>
          <w:smallCaps w:val="0"/>
          <w:strike w:val="0"/>
          <w:sz w:val="16"/>
          <w:u w:val="none"/>
        </w:rPr>
        <w:t xml:space="preserve">Whether the United States will be a Google-like fast follower when it comes to AI oversight very much remains to be seen. </w:t>
      </w:r>
      <w:r>
        <w:rPr>
          <w:b w:val="0"/>
          <w:i w:val="0"/>
          <w:smallCaps w:val="0"/>
          <w:strike w:val="0"/>
          <w:sz w:val="22"/>
          <w:u w:val="single"/>
        </w:rPr>
        <w:t xml:space="preserve">The </w:t>
      </w:r>
      <w:r>
        <w:rPr>
          <w:b/>
          <w:i w:val="0"/>
          <w:smallCaps w:val="0"/>
          <w:strike w:val="0"/>
          <w:sz w:val="22"/>
          <w:u w:val="single"/>
        </w:rPr>
        <w:t>clock</w:t>
      </w:r>
      <w:r>
        <w:rPr>
          <w:b w:val="0"/>
          <w:i w:val="0"/>
          <w:smallCaps w:val="0"/>
          <w:strike w:val="0"/>
          <w:sz w:val="22"/>
          <w:u w:val="single"/>
        </w:rPr>
        <w:t xml:space="preserve">, however, </w:t>
      </w:r>
      <w:r>
        <w:rPr>
          <w:b/>
          <w:i w:val="0"/>
          <w:smallCaps w:val="0"/>
          <w:strike w:val="0"/>
          <w:sz w:val="22"/>
          <w:u w:val="single"/>
        </w:rPr>
        <w:t>is ticking</w:t>
      </w:r>
      <w:r>
        <w:rPr>
          <w:b w:val="0"/>
          <w:i w:val="0"/>
          <w:smallCaps w:val="0"/>
          <w:strike w:val="0"/>
          <w:sz w:val="22"/>
          <w:u w:val="single"/>
        </w:rPr>
        <w:t>; the success of a second mover very much depends on how much time has passed</w:t>
      </w:r>
      <w:r>
        <w:rPr>
          <w:b w:val="0"/>
          <w:i w:val="0"/>
          <w:smallCaps w:val="0"/>
          <w:strike w:val="0"/>
          <w:sz w:val="16"/>
          <w:u w:val="none"/>
        </w:rPr>
        <w:t>.</w:t>
      </w:r>
    </w:p>
    <w:p>
      <w:pPr>
        <w:pStyle w:val="Caption"/>
      </w:pPr>
      <w:r>
        <w:t>Source: Advantage Counterplans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