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Empirics prove – tax cuts increase capital investment, R&amp;D, and promote high quality, skilled research.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McCombs 23</w:t>
      </w:r>
      <w:r>
        <w:rPr>
          <w:b w:val="0"/>
          <w:i w:val="0"/>
          <w:smallCaps w:val="0"/>
          <w:strike w:val="0"/>
          <w:sz w:val="16"/>
          <w:u w:val="none"/>
        </w:rPr>
        <w:t>[Texas McCombs business research, and ideas from the McCombs School of Business at The University of Texas at Austin – based on the research of Lisa De Simone; “Tax Breaks for Innovation Pay Off”; May 30, 2023; https://medium.com/texas-mccombs/tax-breaks-for-innovation-pay-off-2f543f851a6a]//araghvn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Innovation-related tax cuts had several impacts</w:t>
      </w:r>
      <w:r>
        <w:rPr>
          <w:b w:val="0"/>
          <w:i w:val="0"/>
          <w:smallCaps w:val="0"/>
          <w:strike w:val="0"/>
          <w:sz w:val="14"/>
          <w:u w:val="none"/>
        </w:rPr>
        <w:t>, according to De Simone’s findings: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Increased Asset Investment. </w:t>
      </w:r>
      <w:r>
        <w:rPr>
          <w:b w:val="0"/>
          <w:i w:val="0"/>
          <w:smallCaps w:val="0"/>
          <w:strike w:val="0"/>
          <w:sz w:val="16"/>
          <w:u w:val="single"/>
        </w:rPr>
        <w:t>Countries reducing tax rates for innovative activities saw 2.6% higher levels of capital expenditures</w:t>
      </w:r>
      <w:r>
        <w:rPr>
          <w:b w:val="0"/>
          <w:i w:val="0"/>
          <w:smallCaps w:val="0"/>
          <w:strike w:val="0"/>
          <w:sz w:val="14"/>
          <w:u w:val="none"/>
        </w:rPr>
        <w:t>, including assets such as factories and machinery, relative to similar countries offering no tax incentive. But a significant rate cut — 60% or more — was needed to show results.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“You can’t just discount your rate a little bit if you want to attract the types of investment and employment that you’re trying to attract.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You have to offer a </w:t>
      </w:r>
      <w:r>
        <w:rPr>
          <w:b w:val="0"/>
          <w:i w:val="0"/>
          <w:smallCaps w:val="0"/>
          <w:strike w:val="0"/>
          <w:sz w:val="16"/>
          <w:u w:val="single"/>
        </w:rPr>
        <w:t>pretty big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benefit to see an effect</w:t>
      </w:r>
      <w:r>
        <w:rPr>
          <w:b w:val="0"/>
          <w:i w:val="0"/>
          <w:smallCaps w:val="0"/>
          <w:strike w:val="0"/>
          <w:sz w:val="14"/>
          <w:u w:val="none"/>
        </w:rPr>
        <w:t>,” De Simone says.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Higher Pay for Some. The study found no bump in hiring or overall compensation from innovation box policies. But it </w:t>
      </w:r>
      <w:r>
        <w:rPr>
          <w:b w:val="0"/>
          <w:i w:val="0"/>
          <w:smallCaps w:val="0"/>
          <w:strike w:val="0"/>
          <w:sz w:val="16"/>
          <w:u w:val="single"/>
        </w:rPr>
        <w:t>found increased average pay for employees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probably </w:t>
      </w:r>
      <w:r>
        <w:rPr>
          <w:b w:val="0"/>
          <w:i w:val="0"/>
          <w:smallCaps w:val="0"/>
          <w:strike w:val="0"/>
          <w:sz w:val="16"/>
          <w:u w:val="single"/>
        </w:rPr>
        <w:t>including higher-skilled research and development workers</w:t>
      </w:r>
      <w:r>
        <w:rPr>
          <w:b w:val="0"/>
          <w:i w:val="0"/>
          <w:smallCaps w:val="0"/>
          <w:strike w:val="0"/>
          <w:sz w:val="14"/>
          <w:u w:val="none"/>
        </w:rPr>
        <w:t>. Workers earned at least 46,844 euros more, equal to $49,525 in U.S. dollars.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