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Incentives are ineffective and too broad.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Florida 17</w:t>
      </w:r>
      <w:r>
        <w:rPr>
          <w:b w:val="0"/>
          <w:i w:val="0"/>
          <w:smallCaps w:val="0"/>
          <w:strike w:val="0"/>
          <w:sz w:val="16"/>
          <w:u w:val="none"/>
        </w:rPr>
        <w:t>[Richard Florida is a professor at the University of Toronto's School of Cities and Rotman School of Management. He is the author of “The Rise of the Creative Class” and "The New Urban Crisis."; "Handing Out Tax Breaks to Businesses Is Worse Than Useless”; March 7, 2017; https://www.bloomberg.com/news/articles/2017-03-07/business-incentives-are-ineffective-and-wasteful]//araghvn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 xml:space="preserve">Instead of focusing on highly innovative, high-paying industries that create a lot of jobs, most </w:t>
      </w:r>
      <w:r>
        <w:rPr>
          <w:b w:val="0"/>
          <w:i w:val="0"/>
          <w:smallCaps w:val="0"/>
          <w:strike w:val="0"/>
          <w:sz w:val="16"/>
          <w:u w:val="single"/>
        </w:rPr>
        <w:t>incentives,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Bartik finds, </w:t>
      </w:r>
      <w:r>
        <w:rPr>
          <w:b w:val="0"/>
          <w:i w:val="0"/>
          <w:smallCaps w:val="0"/>
          <w:strike w:val="0"/>
          <w:sz w:val="16"/>
          <w:u w:val="single"/>
        </w:rPr>
        <w:t>are poorly targeted; there is little rhyme or reason to which firms or which industries get them.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he points out, incentives do not vary </w:t>
      </w:r>
      <w:r>
        <w:rPr>
          <w:b w:val="0"/>
          <w:i w:val="0"/>
          <w:smallCaps w:val="0"/>
          <w:strike w:val="0"/>
          <w:sz w:val="16"/>
          <w:u w:val="none"/>
        </w:rPr>
        <w:t>in light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industry characteristics that would predict greater local benefits—obvious ones, like how much R&amp;D they do, how many people they employ, or the wages they pay. So, for example, a 10 percent increase in an industry’s wages predicts just a 3 percent increase in incentives. </w:t>
      </w:r>
      <w:r>
        <w:rPr>
          <w:b w:val="0"/>
          <w:i w:val="0"/>
          <w:smallCaps w:val="0"/>
          <w:strike w:val="0"/>
          <w:sz w:val="16"/>
          <w:u w:val="single"/>
        </w:rPr>
        <w:t>Incentives track more with a state’s gross taxes than with unemployment rate or wage levels.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Moreover, states shell out too much money up front. They front-load incentives, instead of watching how businesses that are getting the incentives perform over time.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Companies </w:t>
      </w:r>
      <w:r>
        <w:rPr>
          <w:b w:val="0"/>
          <w:i w:val="0"/>
          <w:smallCaps w:val="0"/>
          <w:strike w:val="0"/>
          <w:sz w:val="16"/>
          <w:u w:val="single"/>
        </w:rPr>
        <w:t>are able to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take the incentives and can be slow to deliver on jobs or follow-on investments, or in some cases just pull up shop all together. Other states continue to shell out incentives, even after companies fail to meet their own projections for job creation or investment.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Basically, states hand over the money to companies and then do not even follow up to see if they are working or not. As Bartik puts it: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Incentives are still far too broadly provided to many firms that do not pay high wages, do not provide many jobs, and are unlikely to have research spinoffs.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Too many incentives excessively sacrifice the long-term tax base of state and local economies. Too many incentives </w:t>
      </w:r>
      <w:r>
        <w:rPr>
          <w:b w:val="0"/>
          <w:i w:val="0"/>
          <w:smallCaps w:val="0"/>
          <w:strike w:val="0"/>
          <w:sz w:val="16"/>
          <w:u w:val="single"/>
        </w:rPr>
        <w:t>are refundable and without real budget limits</w:t>
      </w:r>
      <w:r>
        <w:rPr>
          <w:b w:val="0"/>
          <w:i w:val="0"/>
          <w:smallCaps w:val="0"/>
          <w:strike w:val="0"/>
          <w:sz w:val="16"/>
          <w:u w:val="none"/>
        </w:rPr>
        <w:t>. States devote relatively few resources to incentives that are services, such as customized job training. Based on past research, such services may be more cost-effective than cash in encouraging local job growth.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study concludes that </w:t>
      </w:r>
      <w:r>
        <w:rPr>
          <w:b w:val="0"/>
          <w:i w:val="0"/>
          <w:smallCaps w:val="0"/>
          <w:strike w:val="0"/>
          <w:sz w:val="16"/>
          <w:u w:val="single"/>
        </w:rPr>
        <w:t>there is little connection between the level of incentives a state forks over to business and its economic fortunes</w:t>
      </w:r>
      <w:r>
        <w:rPr>
          <w:b w:val="0"/>
          <w:i w:val="0"/>
          <w:smallCaps w:val="0"/>
          <w:strike w:val="0"/>
          <w:sz w:val="16"/>
          <w:u w:val="none"/>
        </w:rPr>
        <w:t>. “Incentives do not have a large correlation with a state’s current or past unemployment or income levels or with future economic growth,” Bartik writes. He also notes, however, that these results are preliminary and might change in more full-blown models with more control variables.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