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Reliance upon a China NFU is uncertain—Taiwan proves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Gabriel </w:t>
      </w:r>
      <w:r>
        <w:rPr>
          <w:b/>
          <w:i w:val="0"/>
          <w:smallCaps w:val="0"/>
          <w:strike w:val="0"/>
          <w:sz w:val="24"/>
          <w:u w:val="none"/>
        </w:rPr>
        <w:t>Collins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Andrew S. </w:t>
      </w:r>
      <w:r>
        <w:rPr>
          <w:b/>
          <w:i w:val="0"/>
          <w:smallCaps w:val="0"/>
          <w:strike w:val="0"/>
          <w:sz w:val="24"/>
          <w:u w:val="none"/>
        </w:rPr>
        <w:t>Erickson</w:t>
      </w:r>
      <w:r>
        <w:rPr>
          <w:b w:val="0"/>
          <w:i w:val="0"/>
          <w:smallCaps w:val="0"/>
          <w:strike w:val="0"/>
          <w:sz w:val="16"/>
          <w:u w:val="none"/>
        </w:rPr>
        <w:t>, 9/25/20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[(</w:t>
      </w:r>
      <w:r>
        <w:rPr>
          <w:b w:val="0"/>
          <w:i w:val="0"/>
          <w:smallCaps w:val="0"/>
          <w:strike w:val="0"/>
          <w:sz w:val="16"/>
          <w:u w:val="single"/>
        </w:rPr>
        <w:t>Gabriel Collins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the Baker Botts Fellow in Energy &amp; Environmental Regulatory Affairs at Rice University’s Baker Institute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Collins has worked in the Department of Defense as a China analyst and as a private sector global commodity researcher, authoring more than 100 commodity analysis reports, both for private clients and for publication.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Dr. Andrew S. Erickson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Professor of Strategy (tenured full professor) in the U.S. Naval War College (NWC)’s China Maritime Studies Institute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Erickson helped initiate, and was part of, the original ‘China Maritime Studies Group’ that approached NWC’s Provost in fall 2004 with the idea of creating CMSI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.)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Reaping the whirlwind: How China’s coercive annexation of Taiwan could trigger nuclear proliferation in Asia and beyond | Baker Institute. </w:t>
      </w:r>
      <w:r>
        <w:rPr>
          <w:b w:val="0"/>
          <w:i w:val="0"/>
          <w:smallCaps w:val="0"/>
          <w:strike w:val="0"/>
          <w:sz w:val="16"/>
          <w:u w:val="none"/>
        </w:rPr>
        <w:t>(9/25/2023)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Baker Institute. https://www.bakerinstitute.org/research/reaping-whirlwind-how-chinas-coercive-annexation-taiwan-could-trigger-nuclear#_edn45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Beijing’s nuclear strategy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redlines, and limits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remain highly </w:t>
      </w:r>
      <w:r>
        <w:rPr>
          <w:b/>
          <w:i w:val="0"/>
          <w:smallCaps w:val="0"/>
          <w:strike w:val="0"/>
          <w:sz w:val="22"/>
          <w:u w:val="single"/>
        </w:rPr>
        <w:t>uncertain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u w:val="single"/>
        </w:rPr>
        <w:t>China is developing its forces rapidly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</w:t>
      </w:r>
      <w:r>
        <w:rPr>
          <w:b w:val="0"/>
          <w:i w:val="0"/>
          <w:smallCaps w:val="0"/>
          <w:strike w:val="0"/>
          <w:sz w:val="22"/>
          <w:u w:val="single"/>
        </w:rPr>
        <w:t>offering neither substantial transparency nor dialogue, to say nothing of confidence-building measures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let alone binding arms control agreements of the sort that Washington and Moscow concluded successfully in later Cold War years. </w:t>
      </w:r>
      <w:r>
        <w:rPr>
          <w:b w:val="0"/>
          <w:i w:val="0"/>
          <w:smallCaps w:val="0"/>
          <w:strike w:val="0"/>
          <w:sz w:val="22"/>
          <w:u w:val="single"/>
        </w:rPr>
        <w:t>Beijing officially maintains a strict No First Use (</w:t>
      </w:r>
      <w:r>
        <w:rPr>
          <w:b/>
          <w:i w:val="0"/>
          <w:smallCaps w:val="0"/>
          <w:strike w:val="0"/>
          <w:sz w:val="22"/>
          <w:u w:val="single"/>
        </w:rPr>
        <w:t>NFU</w:t>
      </w:r>
      <w:r>
        <w:rPr>
          <w:b w:val="0"/>
          <w:i w:val="0"/>
          <w:smallCaps w:val="0"/>
          <w:strike w:val="0"/>
          <w:sz w:val="22"/>
          <w:u w:val="single"/>
        </w:rPr>
        <w:t>)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seems </w:t>
      </w:r>
      <w:r>
        <w:rPr>
          <w:b/>
          <w:i w:val="0"/>
          <w:smallCaps w:val="0"/>
          <w:strike w:val="0"/>
          <w:sz w:val="22"/>
          <w:u w:val="single"/>
        </w:rPr>
        <w:t>unlikely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it could be relied upon in the event of foreign strikes that threatened PRC command and control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(C2) nodes or major strategic effects, </w:t>
      </w:r>
      <w:r>
        <w:rPr>
          <w:b w:val="0"/>
          <w:i w:val="0"/>
          <w:smallCaps w:val="0"/>
          <w:strike w:val="0"/>
          <w:sz w:val="22"/>
          <w:u w:val="single"/>
        </w:rPr>
        <w:t>or in the event that the Party and its Army faced failure in a Taiwan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.[43] Risks of confusion, misperception, </w:t>
      </w:r>
      <w:r>
        <w:rPr>
          <w:b w:val="0"/>
          <w:i w:val="0"/>
          <w:smallCaps w:val="0"/>
          <w:strike w:val="0"/>
          <w:sz w:val="22"/>
          <w:u w:val="single"/>
        </w:rPr>
        <w:t>and escalation are 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heightened by PRC comingling of nuclear and conventional missiles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the “dispersal of mobile missile systems to hide sites” whereby it may be unclear which type of system is where at a given time.[44] As part of this risk-raising approach, China “may be exploring development of conventionally-armed intercontinental range missile systems. ... Such </w:t>
      </w:r>
      <w:r>
        <w:rPr>
          <w:b w:val="0"/>
          <w:i w:val="0"/>
          <w:smallCaps w:val="0"/>
          <w:strike w:val="0"/>
          <w:sz w:val="22"/>
          <w:u w:val="single"/>
        </w:rPr>
        <w:t>capabilities would allow the PRC to threaten conventional strikes against targets in the continental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Hawaii, and Alaska. </w:t>
      </w:r>
      <w:r>
        <w:rPr>
          <w:b w:val="0"/>
          <w:i w:val="0"/>
          <w:smallCaps w:val="0"/>
          <w:strike w:val="0"/>
          <w:sz w:val="22"/>
          <w:u w:val="single"/>
        </w:rPr>
        <w:t>Conventionally-armed ICBMs would present significant risks to strategic stability</w:t>
      </w:r>
      <w:r>
        <w:rPr>
          <w:b w:val="0"/>
          <w:i w:val="0"/>
          <w:smallCaps w:val="0"/>
          <w:strike w:val="0"/>
          <w:sz w:val="16"/>
          <w:u w:val="none"/>
        </w:rPr>
        <w:t>.”[</w:t>
      </w:r>
      <w:r>
        <w:rPr>
          <w:b w:val="0"/>
          <w:i w:val="0"/>
          <w:smallCaps w:val="0"/>
          <w:strike w:val="0"/>
          <w:sz w:val="16"/>
          <w:u w:val="none"/>
        </w:rPr>
        <w:t>45] Figure 7 depicts the respective range rings of PRC conventional strike systems (i.e., missiles, some of which are aircraft-delivered, thereby extending their range) that are already operational.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