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improves research and analysis on domestic terrorism trends.</w:t>
      </w:r>
    </w:p>
    <w:p>
      <w:pPr>
        <w:spacing w:after="80"/>
      </w:pPr>
      <w:r>
        <w:rPr>
          <w:b/>
          <w:i w:val="0"/>
          <w:smallCaps w:val="0"/>
          <w:strike w:val="0"/>
          <w:sz w:val="26"/>
          <w:u w:val="none"/>
        </w:rPr>
        <w:t xml:space="preserve">Doxsee &amp; Harrington 21 </w:t>
      </w:r>
      <w:r>
        <w:rPr>
          <w:b w:val="0"/>
          <w:i w:val="0"/>
          <w:smallCaps w:val="0"/>
          <w:strike w:val="0"/>
          <w:sz w:val="16"/>
          <w:u w:val="none"/>
        </w:rPr>
        <w:t xml:space="preserve">[Catrina Doxsee is a fellow with the </w:t>
      </w:r>
      <w:r>
        <w:rPr>
          <w:b w:val="0"/>
          <w:i w:val="0"/>
          <w:smallCaps w:val="0"/>
          <w:strike w:val="0"/>
          <w:sz w:val="16"/>
          <w:u w:val="none"/>
        </w:rPr>
        <w:t>arfare</w:t>
      </w:r>
      <w:r>
        <w:rPr>
          <w:b w:val="0"/>
          <w:i w:val="0"/>
          <w:smallCaps w:val="0"/>
          <w:strike w:val="0"/>
          <w:sz w:val="16"/>
          <w:u w:val="none"/>
        </w:rPr>
        <w:t>, Irregular Threats, and Terrorism Program at the Center for Strategic and International Studies (CSIS), where she analyzes international and domestic terrorism and the irregular activities of countries such as Russia, China, and Iran.; “The First U.S. National Strategy for Countering Domestic Terrorism”; June 17, 2016; https://www.csis.org/analysis/first-us-national-strategy-countering-domestic-terrorism]//araghvn</w:t>
      </w:r>
    </w:p>
    <w:p>
      <w:pPr>
        <w:spacing w:after="60"/>
      </w:pPr>
      <w:r>
        <w:rPr>
          <w:b w:val="0"/>
          <w:i w:val="0"/>
          <w:smallCaps w:val="0"/>
          <w:strike w:val="0"/>
          <w:sz w:val="16"/>
          <w:u w:val="none"/>
        </w:rPr>
        <w:t>The first pillar—</w:t>
      </w:r>
      <w:r>
        <w:rPr>
          <w:b w:val="0"/>
          <w:i w:val="0"/>
          <w:smallCaps w:val="0"/>
          <w:strike w:val="0"/>
          <w:sz w:val="16"/>
          <w:u w:val="single"/>
        </w:rPr>
        <w:t>understanding and sharing domestic-terrorism-related information</w:t>
      </w:r>
      <w:r>
        <w:rPr>
          <w:b w:val="0"/>
          <w:i w:val="0"/>
          <w:smallCaps w:val="0"/>
          <w:strike w:val="0"/>
          <w:sz w:val="16"/>
          <w:u w:val="none"/>
        </w:rPr>
        <w:t>—</w:t>
      </w:r>
      <w:r>
        <w:rPr>
          <w:b w:val="0"/>
          <w:i w:val="0"/>
          <w:smallCaps w:val="0"/>
          <w:strike w:val="0"/>
          <w:sz w:val="16"/>
          <w:u w:val="single"/>
        </w:rPr>
        <w:t>aims to improve research and analysis on domestic terrorism trends</w:t>
      </w:r>
      <w:r>
        <w:rPr>
          <w:b w:val="0"/>
          <w:i w:val="0"/>
          <w:smallCaps w:val="0"/>
          <w:strike w:val="0"/>
          <w:sz w:val="16"/>
          <w:u w:val="none"/>
        </w:rPr>
        <w:t xml:space="preserve">; improve information sharing both within the government and externally, </w:t>
      </w:r>
      <w:r>
        <w:rPr>
          <w:b w:val="0"/>
          <w:i w:val="0"/>
          <w:smallCaps w:val="0"/>
          <w:strike w:val="0"/>
          <w:sz w:val="16"/>
          <w:u w:val="single"/>
        </w:rPr>
        <w:t>including dissemination of information to Congress and the public; and better understand and respond to domestic terrorists’ transnational connections.</w:t>
      </w:r>
    </w:p>
    <w:p>
      <w:pPr>
        <w:spacing w:after="60"/>
      </w:pPr>
      <w:r>
        <w:rPr>
          <w:b w:val="0"/>
          <w:i w:val="0"/>
          <w:smallCaps w:val="0"/>
          <w:strike w:val="0"/>
          <w:sz w:val="16"/>
          <w:u w:val="none"/>
        </w:rPr>
        <w:t>The second pillar—</w:t>
      </w:r>
      <w:r>
        <w:rPr>
          <w:b w:val="0"/>
          <w:i w:val="0"/>
          <w:smallCaps w:val="0"/>
          <w:strike w:val="0"/>
          <w:sz w:val="16"/>
          <w:u w:val="single"/>
        </w:rPr>
        <w:t>preventing domestic terrorism recruitment and mobilization to violence</w:t>
      </w:r>
      <w:r>
        <w:rPr>
          <w:b w:val="0"/>
          <w:i w:val="0"/>
          <w:smallCaps w:val="0"/>
          <w:strike w:val="0"/>
          <w:sz w:val="16"/>
          <w:u w:val="none"/>
        </w:rPr>
        <w:t xml:space="preserve">—seeks to </w:t>
      </w:r>
      <w:r>
        <w:rPr>
          <w:b w:val="0"/>
          <w:i w:val="0"/>
          <w:smallCaps w:val="0"/>
          <w:strike w:val="0"/>
          <w:sz w:val="16"/>
          <w:u w:val="single"/>
        </w:rPr>
        <w:t>improve community and individual resilience to violence and disinformation, including through digital and information literacy</w:t>
      </w:r>
      <w:r>
        <w:rPr>
          <w:b w:val="0"/>
          <w:i w:val="0"/>
          <w:smallCaps w:val="0"/>
          <w:strike w:val="0"/>
          <w:sz w:val="16"/>
          <w:u w:val="none"/>
        </w:rPr>
        <w:t>; support programs that aim to disrupt radicalization pathways and terrorist recruitment efforts, including those specifically targeting veterans; improve public awareness of and access to violence reduction resources; and counter online recruitment and mobilization efforts, including through information sharing with the technology sector.</w:t>
      </w:r>
    </w:p>
    <w:p>
      <w:pPr>
        <w:spacing w:after="60"/>
      </w:pPr>
      <w:r>
        <w:rPr>
          <w:b w:val="0"/>
          <w:i w:val="0"/>
          <w:smallCaps w:val="0"/>
          <w:strike w:val="0"/>
          <w:sz w:val="16"/>
          <w:u w:val="none"/>
        </w:rPr>
        <w:t>The third pillar—</w:t>
      </w:r>
      <w:r>
        <w:rPr>
          <w:b w:val="0"/>
          <w:i w:val="0"/>
          <w:smallCaps w:val="0"/>
          <w:strike w:val="0"/>
          <w:sz w:val="16"/>
          <w:u w:val="single"/>
        </w:rPr>
        <w:t>disrupting and deterring domestic terrorist activity</w:t>
      </w:r>
      <w:r>
        <w:rPr>
          <w:b w:val="0"/>
          <w:i w:val="0"/>
          <w:smallCaps w:val="0"/>
          <w:strike w:val="0"/>
          <w:sz w:val="16"/>
          <w:u w:val="none"/>
        </w:rPr>
        <w:t>—</w:t>
      </w:r>
      <w:r>
        <w:rPr>
          <w:b w:val="0"/>
          <w:i w:val="0"/>
          <w:smallCaps w:val="0"/>
          <w:strike w:val="0"/>
          <w:sz w:val="16"/>
          <w:u w:val="single"/>
        </w:rPr>
        <w:t>includes increased funding and personnel flexibility for the DOJ and Federal Bureau of Investigation (FBI) to support investigation and prosecution of terrorist activity</w:t>
      </w:r>
      <w:r>
        <w:rPr>
          <w:b w:val="0"/>
          <w:i w:val="0"/>
          <w:smallCaps w:val="0"/>
          <w:strike w:val="0"/>
          <w:sz w:val="16"/>
          <w:u w:val="none"/>
        </w:rPr>
        <w:t xml:space="preserve">; </w:t>
      </w:r>
      <w:r>
        <w:rPr>
          <w:b w:val="0"/>
          <w:i w:val="0"/>
          <w:smallCaps w:val="0"/>
          <w:strike w:val="0"/>
          <w:sz w:val="16"/>
          <w:u w:val="single"/>
        </w:rPr>
        <w:t>improved</w:t>
      </w:r>
      <w:r>
        <w:rPr>
          <w:b w:val="0"/>
          <w:i w:val="0"/>
          <w:smallCaps w:val="0"/>
          <w:strike w:val="0"/>
          <w:sz w:val="16"/>
          <w:u w:val="none"/>
        </w:rPr>
        <w:t xml:space="preserve"> training, resources, and interagency cooperation and </w:t>
      </w:r>
      <w:r>
        <w:rPr>
          <w:b w:val="0"/>
          <w:i w:val="0"/>
          <w:smallCaps w:val="0"/>
          <w:strike w:val="0"/>
          <w:sz w:val="16"/>
          <w:u w:val="single"/>
        </w:rPr>
        <w:t>information sharing,</w:t>
      </w:r>
      <w:r>
        <w:rPr>
          <w:b w:val="0"/>
          <w:i w:val="0"/>
          <w:smallCaps w:val="0"/>
          <w:strike w:val="0"/>
          <w:sz w:val="16"/>
          <w:u w:val="none"/>
        </w:rPr>
        <w:t xml:space="preserve"> including with agencies at the state, local, tribal, and territorial levels; consideration of additional legislative reforms; and improved screening and vetting processes for government employees.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