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 increase protection of trademarks on ecommerce in the United states. </w:t>
      </w:r>
    </w:p>
    <w:p>
      <w:pPr>
        <w:spacing w:after="80"/>
      </w:pPr>
      <w:r>
        <w:rPr>
          <w:b/>
          <w:i w:val="0"/>
          <w:smallCaps w:val="0"/>
          <w:strike w:val="0"/>
          <w:u w:val="none"/>
        </w:rPr>
        <w:t>The Lanham Act isn’t extraterritorial even though it includes foreign commerce</w:t>
      </w:r>
    </w:p>
    <w:p>
      <w:pPr>
        <w:spacing w:after="60"/>
      </w:pPr>
      <w:r>
        <w:rPr>
          <w:b/>
          <w:i w:val="0"/>
          <w:smallCaps w:val="0"/>
          <w:strike w:val="0"/>
          <w:sz w:val="26"/>
          <w:u w:val="none"/>
        </w:rPr>
        <w:t>Alito ’23</w:t>
      </w:r>
      <w:r>
        <w:rPr>
          <w:b w:val="0"/>
          <w:i w:val="0"/>
          <w:smallCaps w:val="0"/>
          <w:strike w:val="0"/>
          <w:u w:val="none"/>
        </w:rPr>
        <w:t xml:space="preserve"> [Samuel; June 29; </w:t>
      </w:r>
      <w:r>
        <w:rPr>
          <w:b w:val="0"/>
          <w:i w:val="0"/>
          <w:smallCaps w:val="0"/>
          <w:strike w:val="0"/>
          <w:u w:val="none"/>
        </w:rPr>
        <w:t>justice of the US Supreme Court, writing the majority opinion in a 9-0 decision</w:t>
      </w:r>
      <w:r>
        <w:rPr>
          <w:b w:val="0"/>
          <w:i w:val="0"/>
          <w:smallCaps w:val="0"/>
          <w:strike w:val="0"/>
          <w:u w:val="none"/>
        </w:rPr>
        <w:t>; A</w:t>
      </w:r>
      <w:r>
        <w:rPr>
          <w:b w:val="0"/>
          <w:i w:val="0"/>
          <w:smallCaps w:val="0"/>
          <w:strike w:val="0"/>
          <w:u w:val="none"/>
        </w:rPr>
        <w:t xml:space="preserve">bitron </w:t>
      </w:r>
      <w:r>
        <w:rPr>
          <w:b w:val="0"/>
          <w:i w:val="0"/>
          <w:smallCaps w:val="0"/>
          <w:strike w:val="0"/>
          <w:u w:val="none"/>
        </w:rPr>
        <w:t>A</w:t>
      </w:r>
      <w:r>
        <w:rPr>
          <w:b w:val="0"/>
          <w:i w:val="0"/>
          <w:smallCaps w:val="0"/>
          <w:strike w:val="0"/>
          <w:u w:val="none"/>
        </w:rPr>
        <w:t>ustria GMBH et al. v. Hetronic International, Inc.</w:t>
      </w:r>
      <w:r>
        <w:rPr>
          <w:b w:val="0"/>
          <w:i w:val="0"/>
          <w:smallCaps w:val="0"/>
          <w:strike w:val="0"/>
          <w:u w:val="none"/>
        </w:rPr>
        <w:t xml:space="preserve">, </w:t>
      </w:r>
      <w:r>
        <w:rPr>
          <w:b w:val="0"/>
          <w:i w:val="0"/>
          <w:smallCaps w:val="0"/>
          <w:strike w:val="0"/>
          <w:u w:val="none"/>
        </w:rPr>
        <w:t>https://www.supremecourt.gov/opinions/22pdf/21-1043_7648.pdf</w:t>
      </w:r>
      <w:r>
        <w:rPr>
          <w:b w:val="0"/>
          <w:i w:val="0"/>
          <w:smallCaps w:val="0"/>
          <w:strike w:val="0"/>
          <w:u w:val="none"/>
        </w:rPr>
        <w:t>]</w:t>
      </w:r>
    </w:p>
    <w:p>
      <w:pPr>
        <w:spacing w:after="60"/>
      </w:pPr>
      <w:r>
        <w:rPr>
          <w:b w:val="0"/>
          <w:i w:val="0"/>
          <w:smallCaps w:val="0"/>
          <w:strike w:val="0"/>
          <w:sz w:val="16"/>
          <w:u w:val="none"/>
        </w:rPr>
        <w:t xml:space="preserve">With this well-established framework in mind, </w:t>
      </w:r>
      <w:r>
        <w:rPr>
          <w:b w:val="0"/>
          <w:i w:val="0"/>
          <w:smallCaps w:val="0"/>
          <w:strike w:val="0"/>
          <w:highlight w:val="cyan"/>
          <w:u w:val="single"/>
        </w:rPr>
        <w:t>the</w:t>
      </w:r>
      <w:r>
        <w:rPr>
          <w:b w:val="0"/>
          <w:i w:val="0"/>
          <w:smallCaps w:val="0"/>
          <w:strike w:val="0"/>
          <w:u w:val="single"/>
        </w:rPr>
        <w:t xml:space="preserve"> first </w:t>
      </w:r>
      <w:r>
        <w:rPr>
          <w:b w:val="0"/>
          <w:i w:val="0"/>
          <w:smallCaps w:val="0"/>
          <w:strike w:val="0"/>
          <w:highlight w:val="cyan"/>
          <w:u w:val="single"/>
        </w:rPr>
        <w:t>question is whether the</w:t>
      </w:r>
      <w:r>
        <w:rPr>
          <w:b w:val="0"/>
          <w:i w:val="0"/>
          <w:smallCaps w:val="0"/>
          <w:strike w:val="0"/>
          <w:sz w:val="16"/>
          <w:highlight w:val="cyan"/>
          <w:u w:val="none"/>
        </w:rPr>
        <w:t xml:space="preserve"> </w:t>
      </w:r>
      <w:r>
        <w:rPr>
          <w:b w:val="0"/>
          <w:i w:val="0"/>
          <w:smallCaps w:val="0"/>
          <w:strike w:val="0"/>
          <w:highlight w:val="cyan"/>
          <w:u w:val="single"/>
        </w:rPr>
        <w:t>relevant provisions of the Lanham Act</w:t>
      </w:r>
      <w:r>
        <w:rPr>
          <w:b w:val="0"/>
          <w:i w:val="0"/>
          <w:smallCaps w:val="0"/>
          <w:strike w:val="0"/>
          <w:sz w:val="16"/>
          <w:u w:val="none"/>
        </w:rPr>
        <w:t>, see §§1114(1)(a), 1125(a)(1</w:t>
      </w:r>
      <w:r>
        <w:rPr>
          <w:b w:val="0"/>
          <w:i w:val="0"/>
          <w:smallCaps w:val="0"/>
          <w:strike w:val="0"/>
          <w:sz w:val="16"/>
          <w:highlight w:val="cyan"/>
          <w:u w:val="none"/>
        </w:rPr>
        <w:t xml:space="preserve">), </w:t>
      </w:r>
      <w:r>
        <w:rPr>
          <w:b w:val="0"/>
          <w:i w:val="0"/>
          <w:smallCaps w:val="0"/>
          <w:strike w:val="0"/>
          <w:highlight w:val="cyan"/>
          <w:u w:val="single"/>
        </w:rPr>
        <w:t>provide “a</w:t>
      </w:r>
      <w:r>
        <w:rPr>
          <w:b w:val="0"/>
          <w:i w:val="0"/>
          <w:smallCaps w:val="0"/>
          <w:strike w:val="0"/>
          <w:u w:val="single"/>
        </w:rPr>
        <w:t xml:space="preserve"> clear, </w:t>
      </w:r>
      <w:r>
        <w:rPr>
          <w:b w:val="0"/>
          <w:i w:val="0"/>
          <w:smallCaps w:val="0"/>
          <w:strike w:val="0"/>
          <w:highlight w:val="cyan"/>
          <w:u w:val="single"/>
        </w:rPr>
        <w:t>affirmative indication” that they apply extraterritorially</w:t>
      </w:r>
      <w:r>
        <w:rPr>
          <w:b w:val="0"/>
          <w:i w:val="0"/>
          <w:smallCaps w:val="0"/>
          <w:strike w:val="0"/>
          <w:u w:val="single"/>
        </w:rPr>
        <w:t>,</w:t>
      </w:r>
      <w:r>
        <w:rPr>
          <w:b w:val="0"/>
          <w:i w:val="0"/>
          <w:smallCaps w:val="0"/>
          <w:strike w:val="0"/>
          <w:sz w:val="16"/>
          <w:u w:val="none"/>
        </w:rPr>
        <w:t xml:space="preserve"> RJR Nabisco, 579 U. S., at 337.3 </w:t>
      </w:r>
      <w:r>
        <w:rPr>
          <w:b/>
          <w:i w:val="0"/>
          <w:smallCaps w:val="0"/>
          <w:strike w:val="0"/>
          <w:highlight w:val="cyan"/>
          <w:u w:val="single"/>
        </w:rPr>
        <w:t>They do not</w:t>
      </w:r>
      <w:r>
        <w:rPr>
          <w:b w:val="0"/>
          <w:i w:val="0"/>
          <w:smallCaps w:val="0"/>
          <w:strike w:val="0"/>
          <w:sz w:val="16"/>
          <w:highlight w:val="cyan"/>
          <w:u w:val="none"/>
        </w:rPr>
        <w:t>.</w:t>
      </w:r>
      <w:r>
        <w:rPr>
          <w:b w:val="0"/>
          <w:i w:val="0"/>
          <w:smallCaps w:val="0"/>
          <w:strike w:val="0"/>
          <w:sz w:val="16"/>
          <w:u w:val="none"/>
        </w:rPr>
        <w:t xml:space="preserve"> It is a “rare statute that clearly evidences extraterritorial effect despite lacking an express statement of extraterritoriality.” Id., at 340. Our decision in RJR Nabisco illustrates the clarity required at step one of our framework. There, we held that the Racketeer Influenced and Corrupt Organizations Act could have extraterritorial application in some circumstances because many of its predicate offenses “plainly apply to at least some foreign conduct” and “[a]t least one predicate . . . applies only to conduct occurring outside the United States.” Id., at 338. Here, neither provision at issue provides an express statement of extraterritorial application or any other clear indication that it is one of the “rare” provisions that nonetheless applies abroad. </w:t>
      </w:r>
      <w:r>
        <w:rPr>
          <w:b w:val="0"/>
          <w:i w:val="0"/>
          <w:smallCaps w:val="0"/>
          <w:strike w:val="0"/>
          <w:highlight w:val="cyan"/>
          <w:u w:val="single"/>
        </w:rPr>
        <w:t>Both simply prohibit the use “in commerce,”</w:t>
      </w:r>
      <w:r>
        <w:rPr>
          <w:b w:val="0"/>
          <w:i w:val="0"/>
          <w:smallCaps w:val="0"/>
          <w:strike w:val="0"/>
          <w:sz w:val="16"/>
          <w:u w:val="none"/>
        </w:rPr>
        <w:t xml:space="preserve"> under congressionally prescribed conditions, </w:t>
      </w:r>
      <w:r>
        <w:rPr>
          <w:b w:val="0"/>
          <w:i w:val="0"/>
          <w:smallCaps w:val="0"/>
          <w:strike w:val="0"/>
          <w:highlight w:val="cyan"/>
          <w:u w:val="single"/>
        </w:rPr>
        <w:t>of protected trademarks when that use “is likely to cause confusion</w:t>
      </w:r>
      <w:r>
        <w:rPr>
          <w:b w:val="0"/>
          <w:i w:val="0"/>
          <w:smallCaps w:val="0"/>
          <w:strike w:val="0"/>
          <w:sz w:val="16"/>
          <w:u w:val="none"/>
        </w:rPr>
        <w:t>.” §§1114(1)(a), 1125(a)(1). Hetronic acknowledges that neither provision on its own signals extraterritorial application, but it argues that the requisite indication can be found in the Lanham Act’s definition of “commerce,” which applies to both provisions. Under that definition, “‘commerce’ means all commerce which may lawfully be regulated by Congress.” §1127. Hetronic offers two reasons why this definition is sufficient to rebut the presumption against extraterritoriality. First, it argues that the language naturally leads to this result because Congress can lawfully regulate foreign conduct under the Foreign Commerce Clause. Second, it contends that extraterritoriality is confirmed by the fact that this definition is unique in the U. S. Code and thus differs from what it describes as “boilerplate” definitions of “‘commerce’” in other statutes. Brief for Respondent 23. Neither reason is sufficient. When applying the presumption, “‘</w:t>
      </w:r>
      <w:r>
        <w:rPr>
          <w:b w:val="0"/>
          <w:i w:val="0"/>
          <w:smallCaps w:val="0"/>
          <w:strike w:val="0"/>
          <w:highlight w:val="cyan"/>
          <w:u w:val="single"/>
        </w:rPr>
        <w:t>we have repeatedly held that even statutes</w:t>
      </w:r>
      <w:r>
        <w:rPr>
          <w:b w:val="0"/>
          <w:i w:val="0"/>
          <w:smallCaps w:val="0"/>
          <w:strike w:val="0"/>
          <w:sz w:val="16"/>
          <w:highlight w:val="cyan"/>
          <w:u w:val="none"/>
        </w:rPr>
        <w:t xml:space="preserve"> . . . </w:t>
      </w:r>
      <w:r>
        <w:rPr>
          <w:b w:val="0"/>
          <w:i w:val="0"/>
          <w:smallCaps w:val="0"/>
          <w:strike w:val="0"/>
          <w:highlight w:val="cyan"/>
          <w:u w:val="single"/>
        </w:rPr>
        <w:t>that</w:t>
      </w:r>
      <w:r>
        <w:rPr>
          <w:b w:val="0"/>
          <w:i w:val="0"/>
          <w:smallCaps w:val="0"/>
          <w:strike w:val="0"/>
          <w:sz w:val="16"/>
          <w:u w:val="none"/>
        </w:rPr>
        <w:t xml:space="preserve"> expressly </w:t>
      </w:r>
      <w:r>
        <w:rPr>
          <w:b w:val="0"/>
          <w:i w:val="0"/>
          <w:smallCaps w:val="0"/>
          <w:strike w:val="0"/>
          <w:highlight w:val="cyan"/>
          <w:u w:val="single"/>
        </w:rPr>
        <w:t>refer to “</w:t>
      </w:r>
      <w:r>
        <w:rPr>
          <w:b w:val="0"/>
          <w:i/>
          <w:smallCaps w:val="0"/>
          <w:strike w:val="0"/>
          <w:highlight w:val="cyan"/>
          <w:u w:val="single"/>
        </w:rPr>
        <w:t>foreign</w:t>
      </w:r>
      <w:r>
        <w:rPr>
          <w:b w:val="0"/>
          <w:i w:val="0"/>
          <w:smallCaps w:val="0"/>
          <w:strike w:val="0"/>
          <w:highlight w:val="cyan"/>
          <w:u w:val="single"/>
        </w:rPr>
        <w:t xml:space="preserve"> commerce”</w:t>
      </w:r>
      <w:r>
        <w:rPr>
          <w:b w:val="0"/>
          <w:i w:val="0"/>
          <w:smallCaps w:val="0"/>
          <w:strike w:val="0"/>
          <w:sz w:val="16"/>
          <w:highlight w:val="cyan"/>
          <w:u w:val="none"/>
        </w:rPr>
        <w:t>’</w:t>
      </w:r>
      <w:r>
        <w:rPr>
          <w:b w:val="0"/>
          <w:i w:val="0"/>
          <w:smallCaps w:val="0"/>
          <w:strike w:val="0"/>
          <w:highlight w:val="cyan"/>
          <w:u w:val="single"/>
        </w:rPr>
        <w:t>” when defining “commerce</w:t>
      </w:r>
      <w:r>
        <w:rPr>
          <w:b w:val="0"/>
          <w:i w:val="0"/>
          <w:smallCaps w:val="0"/>
          <w:strike w:val="0"/>
          <w:sz w:val="16"/>
          <w:highlight w:val="cyan"/>
          <w:u w:val="none"/>
        </w:rPr>
        <w:t xml:space="preserve">” </w:t>
      </w:r>
      <w:r>
        <w:rPr>
          <w:b w:val="0"/>
          <w:i w:val="0"/>
          <w:smallCaps w:val="0"/>
          <w:strike w:val="0"/>
          <w:highlight w:val="cyan"/>
          <w:u w:val="single"/>
        </w:rPr>
        <w:t xml:space="preserve">are </w:t>
      </w:r>
      <w:r>
        <w:rPr>
          <w:b/>
          <w:i w:val="0"/>
          <w:smallCaps w:val="0"/>
          <w:strike w:val="0"/>
          <w:highlight w:val="cyan"/>
          <w:u w:val="single"/>
        </w:rPr>
        <w:t>not extraterritorial</w:t>
      </w:r>
      <w:r>
        <w:rPr>
          <w:b w:val="0"/>
          <w:i w:val="0"/>
          <w:smallCaps w:val="0"/>
          <w:strike w:val="0"/>
          <w:sz w:val="16"/>
          <w:u w:val="none"/>
        </w:rPr>
        <w:t xml:space="preserve">. Morrison, 561 U. S., at 262–263; see also RJR Nabisco, 579 U. S., at 344. This conclusion dooms Hetronic’s argument. If an express statutory reference to “foreign commerce” is not enough to rebut the presumption, the same must be true of a definition of “commerce” that refers to Congress’s authority to regulate foreign commerce. That result does not change simply because the provision refers to “all” commerce Congress can regulate. See Kiobel, 569 U. S., at 118 (“[I]t is well established that generic terms like ‘any’ or ‘every’ do not rebut the presumption against extraterritoriality”). And the mere fact that the Lanham Act contains a substantively similar definition that departs from the so-called “boilerplate” definitions used in other statutes cannot justify a different conclusion either. </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