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Counterinterp – if the </w:t>
      </w:r>
      <w:r>
        <w:rPr>
          <w:b/>
          <w:i w:val="0"/>
          <w:smallCaps w:val="0"/>
          <w:strike w:val="0"/>
          <w:sz w:val="26"/>
          <w:u w:val="single"/>
        </w:rPr>
        <w:t>harm</w:t>
      </w:r>
      <w:r>
        <w:rPr>
          <w:b/>
          <w:i w:val="0"/>
          <w:smallCaps w:val="0"/>
          <w:strike w:val="0"/>
          <w:sz w:val="26"/>
          <w:u w:val="none"/>
        </w:rPr>
        <w:t xml:space="preserve"> occurs in the US, then enforcement is </w:t>
      </w:r>
      <w:r>
        <w:rPr>
          <w:b/>
          <w:i w:val="0"/>
          <w:smallCaps w:val="0"/>
          <w:strike w:val="0"/>
          <w:sz w:val="26"/>
          <w:u w:val="single"/>
        </w:rPr>
        <w:t>domestic protection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The harm of infringement occurred to domestic companies – that means the plan’s a domestic protection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LAWRENCE K. </w:t>
      </w:r>
      <w:r>
        <w:rPr>
          <w:b/>
          <w:i w:val="0"/>
          <w:smallCaps w:val="0"/>
          <w:strike w:val="0"/>
          <w:u w:val="none"/>
        </w:rPr>
        <w:t>NODINE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– counsel of record for the International Trademark Association. “BRIEF OF THE INTERNATIONAL TRADEMARK ASSOCIATION AS AMICUS </w:t>
      </w:r>
      <w:r>
        <w:rPr>
          <w:b w:val="0"/>
          <w:i w:val="0"/>
          <w:smallCaps w:val="0"/>
          <w:strike w:val="0"/>
          <w:u w:val="none"/>
        </w:rPr>
        <w:t>CURIAE  IN</w:t>
      </w:r>
      <w:r>
        <w:rPr>
          <w:b w:val="0"/>
          <w:i w:val="0"/>
          <w:smallCaps w:val="0"/>
          <w:strike w:val="0"/>
          <w:u w:val="none"/>
        </w:rPr>
        <w:t xml:space="preserve"> SUPPORT OF NEITHER PARTY” in the case of ABITRON AUSTRIA GMBH, ET AL.,  Petitioners, v. HETRONIC INTERNATIONAL, INC. Respondent.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563C1"/>
          <w:u w:val="single"/>
        </w:rPr>
        <w:t>https://www.supremecourt.gov/DocketPDF/21/21-1043/250905/20221227154119470_21-1043%20Brief.pdf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Importantly,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Lanham Act’s</w:t>
      </w:r>
      <w:r>
        <w:rPr>
          <w:b w:val="0"/>
          <w:i w:val="0"/>
          <w:smallCaps w:val="0"/>
          <w:strike w:val="0"/>
          <w:u w:val="single"/>
        </w:rPr>
        <w:t xml:space="preserve"> focus is not limited to</w:t>
      </w:r>
      <w:r>
        <w:rPr>
          <w:b w:val="0"/>
          <w:i w:val="0"/>
          <w:smallCaps w:val="0"/>
          <w:strike w:val="0"/>
          <w:u w:val="single"/>
        </w:rPr>
        <w:t xml:space="preserve"> point-of-sale consumer confusion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It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broader, and </w:t>
      </w:r>
      <w:r>
        <w:rPr>
          <w:b w:val="0"/>
          <w:i w:val="0"/>
          <w:smallCaps w:val="0"/>
          <w:strike w:val="0"/>
          <w:highlight w:val="cyan"/>
          <w:u w:val="single"/>
        </w:rPr>
        <w:t>provides remedies against</w:t>
      </w:r>
      <w:r>
        <w:rPr>
          <w:b w:val="0"/>
          <w:i w:val="0"/>
          <w:smallCaps w:val="0"/>
          <w:strike w:val="0"/>
          <w:u w:val="single"/>
        </w:rPr>
        <w:t xml:space="preserve"> pre-sale and post-sale </w:t>
      </w:r>
      <w:r>
        <w:rPr>
          <w:b w:val="0"/>
          <w:i w:val="0"/>
          <w:smallCaps w:val="0"/>
          <w:strike w:val="0"/>
          <w:highlight w:val="cyan"/>
          <w:u w:val="single"/>
        </w:rPr>
        <w:t>confusion, injury to reputation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mistaken affiliation or sponsorship, </w:t>
      </w:r>
      <w:r>
        <w:rPr>
          <w:b w:val="0"/>
          <w:i w:val="0"/>
          <w:smallCaps w:val="0"/>
          <w:strike w:val="0"/>
          <w:highlight w:val="cyan"/>
          <w:u w:val="single"/>
        </w:rPr>
        <w:t>and dilution. If a foreign actor causes</w:t>
      </w:r>
      <w:r>
        <w:rPr>
          <w:b w:val="0"/>
          <w:i w:val="0"/>
          <w:smallCaps w:val="0"/>
          <w:strike w:val="0"/>
          <w:u w:val="single"/>
        </w:rPr>
        <w:t xml:space="preserve"> substantial </w:t>
      </w:r>
      <w:r>
        <w:rPr>
          <w:b w:val="0"/>
          <w:i w:val="0"/>
          <w:smallCaps w:val="0"/>
          <w:strike w:val="0"/>
          <w:highlight w:val="cyan"/>
          <w:u w:val="single"/>
        </w:rPr>
        <w:t>injury in the U.S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these ways, </w:t>
      </w:r>
      <w:r>
        <w:rPr>
          <w:b w:val="0"/>
          <w:i w:val="0"/>
          <w:smallCaps w:val="0"/>
          <w:strike w:val="0"/>
          <w:u w:val="single"/>
        </w:rPr>
        <w:t xml:space="preserve">then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it would be a </w:t>
      </w:r>
      <w:r>
        <w:rPr>
          <w:b/>
          <w:i w:val="0"/>
          <w:smallCaps w:val="0"/>
          <w:strike w:val="0"/>
          <w:highlight w:val="cyan"/>
          <w:u w:val="single"/>
        </w:rPr>
        <w:t>permissible domestic application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the Lanham Act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enjoin or </w:t>
      </w:r>
      <w:r>
        <w:rPr>
          <w:b w:val="0"/>
          <w:i w:val="0"/>
          <w:smallCaps w:val="0"/>
          <w:strike w:val="0"/>
          <w:highlight w:val="cyan"/>
          <w:u w:val="single"/>
        </w:rPr>
        <w:t>provide compensation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these injuries. </w:t>
      </w:r>
    </w:p>
    <w:p>
      <w:pPr>
        <w:pStyle w:val="Caption"/>
      </w:pPr>
      <w:r>
        <w:t>Source: E-Commerce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