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Reject Kagan—efforts to reform hegemony neglect deeper political and economic issues.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Jan Nederveen </w:t>
      </w:r>
      <w:r>
        <w:rPr>
          <w:b/>
          <w:i w:val="0"/>
          <w:smallCaps w:val="0"/>
          <w:strike w:val="0"/>
          <w:sz w:val="26"/>
          <w:u w:val="none"/>
        </w:rPr>
        <w:t>Pieterse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3</w:t>
      </w:r>
      <w:r>
        <w:rPr>
          <w:b w:val="0"/>
          <w:i w:val="0"/>
          <w:smallCaps w:val="0"/>
          <w:strike w:val="0"/>
          <w:u w:val="none"/>
        </w:rPr>
        <w:t xml:space="preserve"> – Suzanne and Duncan Mellichamp Chair and Distinguished Professor of Global Studies and Sociology at University of California Santa Barbara. (Jan Nederveen Pieterse, “The trouble with hegemony: hegemonic destabilization theory,” Chula Digital Collections, 1-1-2003, pg. 72-81, Available Online: https://digital.car.chula.ac.th/arv/vol16/iss1/4/, Accessed: 7-5-2024)//ilake-mc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Hegemonic reform.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major preoccupation in American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political science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international studies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u w:val="single"/>
        </w:rPr>
        <w:t>repair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maintenance of hegemony, or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getting hegemony right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u w:val="none"/>
        </w:rPr>
        <w:t xml:space="preserve"> (Ikenberry, 2001, 2002),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u w:val="none"/>
        </w:rPr>
        <w:t xml:space="preserve"> using more "soft power" (Nye, 2002), exercising restraint so hegemony is less offensive to other powers (Luttwak, 1998; Brutents, 2000),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strengthening cooperation with Europe via NATO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Kagan</w:t>
      </w:r>
      <w:r>
        <w:rPr>
          <w:b/>
          <w:i w:val="0"/>
          <w:smallCaps w:val="0"/>
          <w:strike w:val="0"/>
          <w:sz w:val="24"/>
          <w:u w:val="single"/>
        </w:rPr>
        <w:t>, 2004</w:t>
      </w:r>
      <w:r>
        <w:rPr>
          <w:b w:val="0"/>
          <w:i w:val="0"/>
          <w:smallCaps w:val="0"/>
          <w:strike w:val="0"/>
          <w:sz w:val="22"/>
          <w:u w:val="single"/>
        </w:rPr>
        <w:t>)</w:t>
      </w:r>
      <w:r>
        <w:rPr>
          <w:b w:val="0"/>
          <w:i w:val="0"/>
          <w:smallCaps w:val="0"/>
          <w:strike w:val="0"/>
          <w:u w:val="none"/>
        </w:rPr>
        <w:t xml:space="preserve">, or using hegemony more benevolently (Maynes, 1997).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 perspectives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focus on power politics</w:t>
      </w:r>
      <w:r>
        <w:rPr>
          <w:b w:val="0"/>
          <w:i w:val="0"/>
          <w:smallCaps w:val="0"/>
          <w:strike w:val="0"/>
          <w:sz w:val="22"/>
          <w:u w:val="single"/>
        </w:rPr>
        <w:t>, are</w:t>
      </w:r>
      <w:r>
        <w:rPr>
          <w:b w:val="0"/>
          <w:i w:val="0"/>
          <w:smallCaps w:val="0"/>
          <w:strike w:val="0"/>
          <w:u w:val="none"/>
        </w:rPr>
        <w:t xml:space="preserve"> usually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short on political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economics,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rarely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question whether heg</w:t>
      </w:r>
      <w:r>
        <w:rPr>
          <w:b/>
          <w:i w:val="0"/>
          <w:smallCaps w:val="0"/>
          <w:strike w:val="0"/>
          <w:sz w:val="24"/>
          <w:u w:val="single"/>
        </w:rPr>
        <w:t xml:space="preserve">emony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</w:t>
      </w:r>
      <w:r>
        <w:rPr>
          <w:b/>
          <w:i w:val="0"/>
          <w:smallCaps w:val="0"/>
          <w:strike w:val="0"/>
          <w:sz w:val="24"/>
          <w:u w:val="single"/>
        </w:rPr>
        <w:t xml:space="preserve"> in fact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reparable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</w:p>
    <w:p>
      <w:pPr>
        <w:pStyle w:val="Caption"/>
      </w:pPr>
      <w:r>
        <w:t>Source: Hegemony Supplement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