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Prices </w:t>
      </w:r>
      <w:r>
        <w:rPr>
          <w:b/>
          <w:i w:val="0"/>
          <w:smallCaps w:val="0"/>
          <w:strike w:val="0"/>
          <w:sz w:val="26"/>
          <w:u w:val="single"/>
        </w:rPr>
        <w:t>rising</w:t>
      </w:r>
      <w:r>
        <w:rPr>
          <w:b/>
          <w:i w:val="0"/>
          <w:smallCaps w:val="0"/>
          <w:strike w:val="0"/>
          <w:sz w:val="26"/>
          <w:u w:val="none"/>
        </w:rPr>
        <w:t xml:space="preserve"> now</w:t>
      </w:r>
      <w:r>
        <w:rPr>
          <w:b/>
          <w:i w:val="0"/>
          <w:smallCaps w:val="0"/>
          <w:strike w:val="0"/>
          <w:sz w:val="26"/>
          <w:u w:val="none"/>
        </w:rPr>
        <w:t>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Kimball </w:t>
      </w:r>
      <w:r>
        <w:rPr>
          <w:b/>
          <w:i w:val="0"/>
          <w:smallCaps w:val="0"/>
          <w:strike w:val="0"/>
          <w:sz w:val="26"/>
          <w:u w:val="none"/>
        </w:rPr>
        <w:t>‘</w:t>
      </w:r>
      <w:r>
        <w:rPr>
          <w:b/>
          <w:i w:val="0"/>
          <w:smallCaps w:val="0"/>
          <w:strike w:val="0"/>
          <w:sz w:val="26"/>
          <w:u w:val="none"/>
        </w:rPr>
        <w:t>7/10</w:t>
      </w:r>
      <w:r>
        <w:rPr>
          <w:b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18"/>
          <w:u w:val="none"/>
        </w:rPr>
        <w:t xml:space="preserve">[Spencer Kimball, CNBC reporter on energy markets, CNBC,  “U.S. Oil Rises as inventories fall, OPEC sees solid demand on stronger economic growth”, </w:t>
      </w:r>
      <w:r>
        <w:rPr>
          <w:b w:val="0"/>
          <w:i w:val="0"/>
          <w:smallCaps w:val="0"/>
          <w:strike w:val="0"/>
          <w:sz w:val="18"/>
          <w:u w:val="none"/>
        </w:rPr>
        <w:t>; July 10, 2024]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U.S.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crude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 xml:space="preserve">oil </w:t>
      </w:r>
      <w:r>
        <w:rPr>
          <w:b/>
          <w:i w:val="0"/>
          <w:smallCaps w:val="0"/>
          <w:strike w:val="0"/>
          <w:color w:val="000000"/>
          <w:sz w:val="22"/>
          <w:highlight w:val="cyan"/>
          <w:u w:val="single"/>
        </w:rPr>
        <w:t>rose nearly 1%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Wednesday, </w:t>
      </w:r>
      <w:r>
        <w:rPr>
          <w:b/>
          <w:i w:val="0"/>
          <w:smallCaps w:val="0"/>
          <w:strike w:val="0"/>
          <w:color w:val="000000"/>
          <w:sz w:val="22"/>
          <w:highlight w:val="cyan"/>
          <w:u w:val="single"/>
        </w:rPr>
        <w:t>topping $82 per barrel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 xml:space="preserve"> as U.S. inventories declined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while OPEC sees solid demand supported by stronger economic growth this year.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U.S. oil inventories fell by 3.4 million barrels last week while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gasoline stocks shrank by two million barrels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>, according to the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>.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But implied oil demand, measured by products supplied to the market, softened by 334,000 barrels per day.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6"/>
          <w:u w:val="none"/>
        </w:rPr>
        <w:t>Bulls are looking for sustained drawdowns in U.S. stockpiles to confirm expectations that summer fuel demand will pick up after a tepid start to the season.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6"/>
          <w:u w:val="none"/>
        </w:rPr>
        <w:t>Here are Wednesday’s closing energy prices: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West Texas Intermediate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August contract: $82.10 per barrel, up 69 cents, or 0.85%. Year to date, U.S. oil has gained 14.58%.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Brent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September contract: $85.08 per barrel, up 42 cents, or 0.5%. Year to date, the global benchmark is ahead 10.44%.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RBOB Gasoline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August contract: $2.50 per gallon, down 2 cents, or 0.95%. Year to date, gasoline is up 19%.  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Natural Gas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August contract: $2.33 per thousand cubic feet, down 1 cent, or 0.64%. Year to date, gas is down 7.3%.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OPEC, meanwhile, maintained its oil demand growth forecast of 2.2 million barrels per day for 2024. The cartel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revised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global </w:t>
      </w:r>
      <w:r>
        <w:rPr>
          <w:b/>
          <w:i w:val="0"/>
          <w:smallCaps w:val="0"/>
          <w:strike w:val="0"/>
          <w:color w:val="000000"/>
          <w:sz w:val="22"/>
          <w:highlight w:val="cyan"/>
          <w:u w:val="single"/>
        </w:rPr>
        <w:t>economic growth</w:t>
      </w:r>
      <w:r>
        <w:rPr>
          <w:b/>
          <w:i w:val="0"/>
          <w:smallCaps w:val="0"/>
          <w:strike w:val="0"/>
          <w:color w:val="000000"/>
          <w:sz w:val="22"/>
          <w:u w:val="single"/>
        </w:rPr>
        <w:t xml:space="preserve"> slightly higher for this year </w:t>
      </w:r>
      <w:r>
        <w:rPr>
          <w:b/>
          <w:i w:val="0"/>
          <w:smallCaps w:val="0"/>
          <w:strike w:val="0"/>
          <w:color w:val="000000"/>
          <w:sz w:val="22"/>
          <w:highlight w:val="cyan"/>
          <w:u w:val="single"/>
        </w:rPr>
        <w:t>to 2.9%</w:t>
      </w:r>
      <w:r>
        <w:rPr>
          <w:b/>
          <w:i w:val="0"/>
          <w:smallCaps w:val="0"/>
          <w:strike w:val="0"/>
          <w:color w:val="000000"/>
          <w:sz w:val="22"/>
          <w:u w:val="single"/>
        </w:rPr>
        <w:t>,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buoyed by a better-than-expected first-half performance in Brazil, Russia, India and China plus a rebound in the eurozone.</w:t>
      </w:r>
    </w:p>
    <w:p>
      <w:pPr>
        <w:pStyle w:val="Caption"/>
      </w:pPr>
      <w:r>
        <w:t>Source: Green Patents Neg - Michigan 7 2024 BDKLS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