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ensures that the prices of oil deviate from their predicted high prices and drop.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Panetta </w:t>
      </w:r>
      <w:r>
        <w:rPr>
          <w:b/>
          <w:i w:val="0"/>
          <w:smallCaps w:val="0"/>
          <w:strike w:val="0"/>
          <w:sz w:val="26"/>
          <w:u w:val="none"/>
        </w:rPr>
        <w:t>’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[(Fabio Panetta, Member of the Executive Board of the ECB at the Italian Banking Association) “Greener and cheaper: could the transition away from fossil fuels generate a divine coincidence?, European Central Bank, Nov 16 2022” https://www.ecb.europa.eu/press/key/date/2022/html/ecb.sp221116~c1d5160785.en.html] hwkm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assess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effects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green transition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/>
          <w:i w:val="0"/>
          <w:smallCaps w:val="0"/>
          <w:strike w:val="0"/>
          <w:sz w:val="22"/>
          <w:u w:val="single"/>
        </w:rPr>
        <w:t xml:space="preserve"> energy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prices</w:t>
      </w:r>
      <w:r>
        <w:rPr>
          <w:b/>
          <w:i w:val="0"/>
          <w:smallCaps w:val="0"/>
          <w:strike w:val="0"/>
          <w:sz w:val="22"/>
          <w:u w:val="single"/>
        </w:rPr>
        <w:t xml:space="preserve"> in the future</w:t>
      </w:r>
      <w:r>
        <w:rPr>
          <w:b w:val="0"/>
          <w:i w:val="0"/>
          <w:smallCaps w:val="0"/>
          <w:strike w:val="0"/>
          <w:sz w:val="16"/>
          <w:u w:val="none"/>
        </w:rPr>
        <w:t>, international bodies such as the NGFS and the International Energy Agency (IEA) have turned to scenario analysis. I will refer to two contrasting scenarios.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first is an orderly scenario which assumes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ambitious climate policies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introduced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immediately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</w:t>
      </w:r>
      <w:r>
        <w:rPr>
          <w:b/>
          <w:i w:val="0"/>
          <w:smallCaps w:val="0"/>
          <w:strike w:val="0"/>
          <w:sz w:val="22"/>
          <w:u w:val="single"/>
        </w:rPr>
        <w:t>scenario limits global warming to 1.5 °C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stringent climate policies and innovation, reaching global net-zero emissions by 2050 in line with the Paris Agreement. It nevertheless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requires</w:t>
      </w:r>
      <w:r>
        <w:rPr>
          <w:b/>
          <w:i w:val="0"/>
          <w:smallCaps w:val="0"/>
          <w:strike w:val="0"/>
          <w:sz w:val="22"/>
          <w:u w:val="single"/>
        </w:rPr>
        <w:t xml:space="preserve"> ambitious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policy action</w:t>
      </w:r>
      <w:r>
        <w:rPr>
          <w:b/>
          <w:i w:val="0"/>
          <w:smallCaps w:val="0"/>
          <w:strike w:val="0"/>
          <w:sz w:val="22"/>
          <w:u w:val="single"/>
        </w:rPr>
        <w:t xml:space="preserve"> and technological change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across all sectors of the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The NGFS does not provide detailed and granular information on the overall cost of energy production (including from renewable energy sources), which would give a more complete picture. But it does </w:t>
      </w:r>
      <w:r>
        <w:rPr>
          <w:b/>
          <w:i w:val="0"/>
          <w:smallCaps w:val="0"/>
          <w:strike w:val="0"/>
          <w:sz w:val="22"/>
          <w:u w:val="single"/>
        </w:rPr>
        <w:t xml:space="preserve">provide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estimates for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 of oil, gas and coal</w:t>
      </w:r>
      <w:r>
        <w:rPr>
          <w:b/>
          <w:i w:val="0"/>
          <w:smallCaps w:val="0"/>
          <w:strike w:val="0"/>
          <w:sz w:val="22"/>
          <w:u w:val="single"/>
        </w:rPr>
        <w:t xml:space="preserve">, which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only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increase </w:t>
      </w:r>
      <w:r>
        <w:rPr>
          <w:b/>
          <w:i w:val="0"/>
          <w:smallCaps w:val="0"/>
          <w:strike w:val="0"/>
          <w:sz w:val="24"/>
          <w:u w:val="single"/>
        </w:rPr>
        <w:t>moderately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next decade</w:t>
      </w:r>
      <w:r>
        <w:rPr>
          <w:b/>
          <w:i w:val="0"/>
          <w:smallCaps w:val="0"/>
          <w:strike w:val="0"/>
          <w:sz w:val="22"/>
          <w:u w:val="single"/>
        </w:rPr>
        <w:t xml:space="preserve"> under the net-zero scenario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(Chart 3). In particular,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</w:t>
      </w:r>
      <w:r>
        <w:rPr>
          <w:b/>
          <w:i w:val="0"/>
          <w:smallCaps w:val="0"/>
          <w:strike w:val="0"/>
          <w:sz w:val="22"/>
          <w:u w:val="single"/>
        </w:rPr>
        <w:t xml:space="preserve">predicted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/>
          <w:i w:val="0"/>
          <w:smallCaps w:val="0"/>
          <w:strike w:val="0"/>
          <w:sz w:val="22"/>
          <w:u w:val="single"/>
        </w:rPr>
        <w:t xml:space="preserve"> by around </w:t>
      </w:r>
      <w:r>
        <w:rPr>
          <w:b/>
          <w:i w:val="0"/>
          <w:smallCaps w:val="0"/>
          <w:strike w:val="0"/>
          <w:sz w:val="24"/>
          <w:u w:val="single"/>
        </w:rPr>
        <w:t xml:space="preserve">6 per cent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cumulatively</w:t>
      </w:r>
      <w:r>
        <w:rPr>
          <w:b/>
          <w:i w:val="0"/>
          <w:smallCaps w:val="0"/>
          <w:strike w:val="0"/>
          <w:sz w:val="22"/>
          <w:u w:val="single"/>
        </w:rPr>
        <w:t xml:space="preserve"> from 2020 to 2030</w:t>
      </w:r>
      <w:r>
        <w:rPr>
          <w:b w:val="0"/>
          <w:i w:val="0"/>
          <w:smallCaps w:val="0"/>
          <w:strike w:val="0"/>
          <w:sz w:val="16"/>
          <w:u w:val="none"/>
        </w:rPr>
        <w:t>, reflecting increasing costs of extraction.</w:t>
      </w:r>
    </w:p>
    <w:p>
      <w:pPr>
        <w:spacing w:after="60"/>
      </w:pPr>
      <w:r>
        <w:rPr>
          <w:b/>
          <w:i w:val="0"/>
          <w:smallCaps w:val="0"/>
          <w:strike w:val="0"/>
          <w:sz w:val="16"/>
          <w:u w:val="none"/>
        </w:rPr>
        <w:t>&lt;&lt;JUMP TO FOOTNOTE 26&gt;&gt;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 xml:space="preserve">impact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developments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renewable energy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only partly taken into account in these estimates. The models used by the NGFS capture the fact that more </w:t>
      </w:r>
      <w:r>
        <w:rPr>
          <w:b/>
          <w:i w:val="0"/>
          <w:smallCaps w:val="0"/>
          <w:strike w:val="0"/>
          <w:sz w:val="22"/>
          <w:u w:val="single"/>
        </w:rPr>
        <w:t xml:space="preserve">renewables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mean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slower oil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in turn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decreases oil prices</w:t>
      </w:r>
      <w:r>
        <w:rPr>
          <w:b w:val="0"/>
          <w:i w:val="0"/>
          <w:smallCaps w:val="0"/>
          <w:strike w:val="0"/>
          <w:sz w:val="16"/>
          <w:u w:val="none"/>
        </w:rPr>
        <w:t>. However, potential developments in the market for renewables are excluded for simplification purposes.</w:t>
      </w:r>
    </w:p>
    <w:p>
      <w:pPr>
        <w:spacing w:after="60"/>
      </w:pPr>
      <w:r>
        <w:rPr>
          <w:b/>
          <w:i w:val="0"/>
          <w:smallCaps w:val="0"/>
          <w:strike w:val="0"/>
          <w:sz w:val="16"/>
          <w:u w:val="none"/>
        </w:rPr>
        <w:t>&lt;&lt;BACK TO ARTICLE&gt;&gt;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Gas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turn, are </w:t>
      </w:r>
      <w:r>
        <w:rPr>
          <w:b/>
          <w:i w:val="0"/>
          <w:smallCaps w:val="0"/>
          <w:strike w:val="0"/>
          <w:sz w:val="22"/>
          <w:u w:val="single"/>
        </w:rPr>
        <w:t xml:space="preserve">expected to increase faster as gas demand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expected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remain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relatively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</w:t>
      </w:r>
      <w:r>
        <w:rPr>
          <w:b w:val="0"/>
          <w:i w:val="0"/>
          <w:smallCaps w:val="0"/>
          <w:strike w:val="0"/>
          <w:sz w:val="16"/>
          <w:u w:val="none"/>
        </w:rPr>
        <w:t>, although in annual terms the magnitudes are also contained. In a similar scenario constructed by the IEA, prices for fossil fuel (except gas) would even decline, as channels that reduce demand dominate price dynamics.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