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Speed increases </w:t>
      </w:r>
      <w:r>
        <w:rPr>
          <w:b/>
          <w:i w:val="0"/>
          <w:smallCaps w:val="0"/>
          <w:strike w:val="0"/>
          <w:sz w:val="26"/>
          <w:u w:val="single"/>
        </w:rPr>
        <w:t>likelihood</w:t>
      </w:r>
      <w:r>
        <w:rPr>
          <w:b/>
          <w:i w:val="0"/>
          <w:smallCaps w:val="0"/>
          <w:strike w:val="0"/>
          <w:sz w:val="26"/>
          <w:u w:val="none"/>
        </w:rPr>
        <w:t xml:space="preserve"> that petitioners </w:t>
      </w:r>
      <w:r>
        <w:rPr>
          <w:b/>
          <w:i w:val="0"/>
          <w:smallCaps w:val="0"/>
          <w:strike w:val="0"/>
          <w:sz w:val="26"/>
          <w:u w:val="single"/>
        </w:rPr>
        <w:t>argue</w:t>
      </w:r>
      <w:r>
        <w:rPr>
          <w:b/>
          <w:i w:val="0"/>
          <w:smallCaps w:val="0"/>
          <w:strike w:val="0"/>
          <w:sz w:val="26"/>
          <w:u w:val="none"/>
        </w:rPr>
        <w:t xml:space="preserve"> a patent should be </w:t>
      </w:r>
      <w:r>
        <w:rPr>
          <w:b/>
          <w:i w:val="0"/>
          <w:smallCaps w:val="0"/>
          <w:strike w:val="0"/>
          <w:sz w:val="26"/>
          <w:u w:val="single"/>
        </w:rPr>
        <w:t>invalid</w:t>
      </w:r>
      <w:r>
        <w:rPr>
          <w:b/>
          <w:i w:val="0"/>
          <w:smallCaps w:val="0"/>
          <w:strike w:val="0"/>
          <w:sz w:val="26"/>
          <w:u w:val="none"/>
        </w:rPr>
        <w:t xml:space="preserve">---turns case </w:t>
      </w:r>
      <w:r>
        <w:rPr>
          <w:b/>
          <w:i w:val="0"/>
          <w:smallCaps w:val="0"/>
          <w:strike w:val="0"/>
          <w:sz w:val="26"/>
          <w:u w:val="single"/>
        </w:rPr>
        <w:t>alone</w:t>
      </w:r>
      <w:r>
        <w:rPr>
          <w:b/>
          <w:i w:val="0"/>
          <w:smallCaps w:val="0"/>
          <w:strike w:val="0"/>
          <w:sz w:val="26"/>
          <w:u w:val="none"/>
        </w:rPr>
        <w:t>.</w:t>
      </w:r>
    </w:p>
    <w:p>
      <w:pPr>
        <w:spacing w:after="80"/>
      </w:pPr>
      <w:r>
        <w:rPr>
          <w:b w:val="0"/>
          <w:i w:val="0"/>
          <w:smallCaps w:val="0"/>
          <w:strike w:val="0"/>
          <w:u w:val="none"/>
        </w:rPr>
        <w:t xml:space="preserve">Sarah </w:t>
      </w:r>
      <w:r>
        <w:rPr>
          <w:b/>
          <w:i w:val="0"/>
          <w:smallCaps w:val="0"/>
          <w:strike w:val="0"/>
          <w:sz w:val="26"/>
          <w:u w:val="none"/>
        </w:rPr>
        <w:t>Tran ’12</w:t>
      </w:r>
      <w:r>
        <w:rPr>
          <w:b w:val="0"/>
          <w:i w:val="0"/>
          <w:smallCaps w:val="0"/>
          <w:strike w:val="0"/>
          <w:u w:val="none"/>
        </w:rPr>
        <w:t xml:space="preserve"> [2012; Assistant Professor of Law, Southern Methodist University School of Law. “Expediting Innovation,” Harvard Environmental Law Review; Vol. 36; https://papers.ssrn.com/sol3/papers.cfm?abstract_id=1774821]</w:t>
      </w:r>
    </w:p>
    <w:p>
      <w:pPr>
        <w:spacing w:after="60"/>
      </w:pPr>
      <w:r>
        <w:rPr>
          <w:b w:val="0"/>
          <w:i w:val="0"/>
          <w:smallCaps w:val="0"/>
          <w:strike w:val="0"/>
          <w:sz w:val="16"/>
          <w:u w:val="none"/>
        </w:rPr>
        <w:t xml:space="preserve">The </w:t>
      </w:r>
      <w:r>
        <w:rPr>
          <w:b/>
          <w:i w:val="0"/>
          <w:smallCaps w:val="0"/>
          <w:strike w:val="0"/>
          <w:sz w:val="22"/>
          <w:u w:val="single"/>
        </w:rPr>
        <w:t xml:space="preserve">pre-examination </w:t>
      </w:r>
      <w:r>
        <w:rPr>
          <w:b/>
          <w:i w:val="0"/>
          <w:smallCaps w:val="0"/>
          <w:strike w:val="0"/>
          <w:sz w:val="24"/>
          <w:u w:val="single"/>
        </w:rPr>
        <w:t>search</w:t>
      </w:r>
      <w:r>
        <w:rPr>
          <w:b/>
          <w:i w:val="0"/>
          <w:smallCaps w:val="0"/>
          <w:strike w:val="0"/>
          <w:sz w:val="22"/>
          <w:u w:val="single"/>
        </w:rPr>
        <w:t xml:space="preserve"> and </w:t>
      </w:r>
      <w:r>
        <w:rPr>
          <w:b/>
          <w:i w:val="0"/>
          <w:smallCaps w:val="0"/>
          <w:strike w:val="0"/>
          <w:sz w:val="24"/>
          <w:u w:val="single"/>
        </w:rPr>
        <w:t>ESD</w:t>
      </w:r>
      <w:r>
        <w:rPr>
          <w:b/>
          <w:i w:val="0"/>
          <w:smallCaps w:val="0"/>
          <w:strike w:val="0"/>
          <w:sz w:val="22"/>
          <w:u w:val="single"/>
        </w:rPr>
        <w:t xml:space="preserve"> requirements create </w:t>
      </w:r>
      <w:r>
        <w:rPr>
          <w:b/>
          <w:i w:val="0"/>
          <w:smallCaps w:val="0"/>
          <w:strike w:val="0"/>
          <w:sz w:val="22"/>
          <w:highlight w:val="cyan"/>
          <w:u w:val="single"/>
        </w:rPr>
        <w:t xml:space="preserve">three </w:t>
      </w:r>
      <w:r>
        <w:rPr>
          <w:b/>
          <w:i w:val="0"/>
          <w:smallCaps w:val="0"/>
          <w:strike w:val="0"/>
          <w:sz w:val="24"/>
          <w:highlight w:val="cyan"/>
          <w:u w:val="single"/>
        </w:rPr>
        <w:t>practical problems</w:t>
      </w:r>
      <w:r>
        <w:rPr>
          <w:b/>
          <w:i w:val="0"/>
          <w:smallCaps w:val="0"/>
          <w:strike w:val="0"/>
          <w:sz w:val="22"/>
          <w:u w:val="single"/>
        </w:rPr>
        <w:t xml:space="preserve"> for inventors</w:t>
      </w:r>
      <w:r>
        <w:rPr>
          <w:b w:val="0"/>
          <w:i w:val="0"/>
          <w:smallCaps w:val="0"/>
          <w:strike w:val="0"/>
          <w:sz w:val="16"/>
          <w:u w:val="none"/>
        </w:rPr>
        <w:t xml:space="preserve">: (1) they increase the legal fees for prosecuting anapplication; (2) they push the applicants to narrow the scope of their claims at an early stage; and (3) they </w:t>
      </w:r>
      <w:r>
        <w:rPr>
          <w:b/>
          <w:i w:val="0"/>
          <w:smallCaps w:val="0"/>
          <w:strike w:val="0"/>
          <w:sz w:val="22"/>
          <w:u w:val="single"/>
        </w:rPr>
        <w:t xml:space="preserve">render any </w:t>
      </w:r>
      <w:r>
        <w:rPr>
          <w:b/>
          <w:i w:val="0"/>
          <w:smallCaps w:val="0"/>
          <w:strike w:val="0"/>
          <w:sz w:val="22"/>
          <w:highlight w:val="cyan"/>
          <w:u w:val="single"/>
        </w:rPr>
        <w:t>patents</w:t>
      </w:r>
      <w:r>
        <w:rPr>
          <w:b/>
          <w:i w:val="0"/>
          <w:smallCaps w:val="0"/>
          <w:strike w:val="0"/>
          <w:sz w:val="22"/>
          <w:u w:val="single"/>
        </w:rPr>
        <w:t xml:space="preserve"> that </w:t>
      </w:r>
      <w:r>
        <w:rPr>
          <w:b/>
          <w:i w:val="0"/>
          <w:smallCaps w:val="0"/>
          <w:strike w:val="0"/>
          <w:sz w:val="24"/>
          <w:u w:val="single"/>
        </w:rPr>
        <w:t>issue</w:t>
      </w:r>
      <w:r>
        <w:rPr>
          <w:b/>
          <w:i w:val="0"/>
          <w:smallCaps w:val="0"/>
          <w:strike w:val="0"/>
          <w:sz w:val="22"/>
          <w:u w:val="single"/>
        </w:rPr>
        <w:t xml:space="preserve"> out of this program potentially </w:t>
      </w:r>
      <w:r>
        <w:rPr>
          <w:b/>
          <w:i w:val="0"/>
          <w:smallCaps w:val="0"/>
          <w:strike w:val="0"/>
          <w:sz w:val="22"/>
          <w:highlight w:val="cyan"/>
          <w:u w:val="single"/>
        </w:rPr>
        <w:t xml:space="preserve">subject to a </w:t>
      </w:r>
      <w:r>
        <w:rPr>
          <w:b/>
          <w:i w:val="0"/>
          <w:smallCaps w:val="0"/>
          <w:strike w:val="0"/>
          <w:sz w:val="24"/>
          <w:highlight w:val="cyan"/>
          <w:u w:val="single"/>
        </w:rPr>
        <w:t>greater risk</w:t>
      </w:r>
      <w:r>
        <w:rPr>
          <w:b/>
          <w:i w:val="0"/>
          <w:smallCaps w:val="0"/>
          <w:strike w:val="0"/>
          <w:sz w:val="22"/>
          <w:highlight w:val="cyan"/>
          <w:u w:val="single"/>
        </w:rPr>
        <w:t xml:space="preserve"> of </w:t>
      </w:r>
      <w:r>
        <w:rPr>
          <w:b/>
          <w:i w:val="0"/>
          <w:smallCaps w:val="0"/>
          <w:strike w:val="0"/>
          <w:sz w:val="24"/>
          <w:highlight w:val="cyan"/>
          <w:u w:val="single"/>
        </w:rPr>
        <w:t>unenforceability</w:t>
      </w:r>
      <w:r>
        <w:rPr>
          <w:b w:val="0"/>
          <w:i w:val="0"/>
          <w:smallCaps w:val="0"/>
          <w:strike w:val="0"/>
          <w:sz w:val="16"/>
          <w:u w:val="none"/>
        </w:rPr>
        <w:t xml:space="preserve">. The third problem has been most troubling to applicants because </w:t>
      </w:r>
      <w:r>
        <w:rPr>
          <w:b/>
          <w:i w:val="0"/>
          <w:smallCaps w:val="0"/>
          <w:strike w:val="0"/>
          <w:sz w:val="22"/>
          <w:u w:val="single"/>
        </w:rPr>
        <w:t xml:space="preserve">“[e]ach individual </w:t>
      </w:r>
      <w:r>
        <w:rPr>
          <w:b/>
          <w:i w:val="0"/>
          <w:smallCaps w:val="0"/>
          <w:strike w:val="0"/>
          <w:sz w:val="24"/>
          <w:highlight w:val="cyan"/>
          <w:u w:val="single"/>
        </w:rPr>
        <w:t>associated</w:t>
      </w:r>
      <w:r>
        <w:rPr>
          <w:b/>
          <w:i w:val="0"/>
          <w:smallCaps w:val="0"/>
          <w:strike w:val="0"/>
          <w:sz w:val="22"/>
          <w:highlight w:val="cyan"/>
          <w:u w:val="single"/>
        </w:rPr>
        <w:t xml:space="preserve"> with the </w:t>
      </w:r>
      <w:r>
        <w:rPr>
          <w:b/>
          <w:i w:val="0"/>
          <w:smallCaps w:val="0"/>
          <w:strike w:val="0"/>
          <w:sz w:val="24"/>
          <w:highlight w:val="cyan"/>
          <w:u w:val="single"/>
        </w:rPr>
        <w:t>filing</w:t>
      </w:r>
      <w:r>
        <w:rPr>
          <w:b/>
          <w:i w:val="0"/>
          <w:smallCaps w:val="0"/>
          <w:strike w:val="0"/>
          <w:sz w:val="22"/>
          <w:highlight w:val="cyan"/>
          <w:u w:val="single"/>
        </w:rPr>
        <w:t xml:space="preserve"> and </w:t>
      </w:r>
      <w:r>
        <w:rPr>
          <w:b/>
          <w:i w:val="0"/>
          <w:smallCaps w:val="0"/>
          <w:strike w:val="0"/>
          <w:sz w:val="24"/>
          <w:highlight w:val="cyan"/>
          <w:u w:val="single"/>
        </w:rPr>
        <w:t>prosecution</w:t>
      </w:r>
      <w:r>
        <w:rPr>
          <w:b/>
          <w:i w:val="0"/>
          <w:smallCaps w:val="0"/>
          <w:strike w:val="0"/>
          <w:sz w:val="22"/>
          <w:u w:val="single"/>
        </w:rPr>
        <w:t xml:space="preserve"> of a patent application has a duty of candor and </w:t>
      </w:r>
      <w:r>
        <w:rPr>
          <w:b/>
          <w:i w:val="0"/>
          <w:smallCaps w:val="0"/>
          <w:strike w:val="0"/>
          <w:sz w:val="24"/>
          <w:u w:val="single"/>
        </w:rPr>
        <w:t>good faith</w:t>
      </w:r>
      <w:r>
        <w:rPr>
          <w:b/>
          <w:i w:val="0"/>
          <w:smallCaps w:val="0"/>
          <w:strike w:val="0"/>
          <w:sz w:val="22"/>
          <w:u w:val="single"/>
        </w:rPr>
        <w:t xml:space="preserve"> in dealing with the [Patent] Office, </w:t>
      </w:r>
      <w:r>
        <w:rPr>
          <w:b w:val="0"/>
          <w:i w:val="0"/>
          <w:smallCaps w:val="0"/>
          <w:strike w:val="0"/>
          <w:sz w:val="16"/>
          <w:u w:val="none"/>
        </w:rPr>
        <w:t xml:space="preserve">which includes a duty to disclose to the [Patent] Office all information known to that individual to be material to patentability.”102 The U.S. Court of Appeals for the Federal Circuit (“Federal Circuit”), which has exclusive nationwide jurisdiction over appeals from all district court cases arising under the patent laws,103 has made clear that a breach of this duty during the prosecution of a patent application constitutes “inequitable conduct” and renders all the claims of the patent unenforceable for the life of the patent.104 </w:t>
      </w:r>
      <w:r>
        <w:rPr>
          <w:b/>
          <w:i w:val="0"/>
          <w:smallCaps w:val="0"/>
          <w:strike w:val="0"/>
          <w:sz w:val="24"/>
          <w:highlight w:val="cyan"/>
          <w:u w:val="single"/>
        </w:rPr>
        <w:t>Litigating</w:t>
      </w:r>
      <w:r>
        <w:rPr>
          <w:b/>
          <w:i w:val="0"/>
          <w:smallCaps w:val="0"/>
          <w:strike w:val="0"/>
          <w:sz w:val="22"/>
          <w:highlight w:val="cyan"/>
          <w:u w:val="single"/>
        </w:rPr>
        <w:t xml:space="preserve"> parties seeking to render a </w:t>
      </w:r>
      <w:r>
        <w:rPr>
          <w:b/>
          <w:i w:val="0"/>
          <w:smallCaps w:val="0"/>
          <w:strike w:val="0"/>
          <w:sz w:val="24"/>
          <w:highlight w:val="cyan"/>
          <w:u w:val="single"/>
        </w:rPr>
        <w:t>patent unenforceable</w:t>
      </w:r>
      <w:r>
        <w:rPr>
          <w:b/>
          <w:i w:val="0"/>
          <w:smallCaps w:val="0"/>
          <w:strike w:val="0"/>
          <w:sz w:val="22"/>
          <w:u w:val="single"/>
        </w:rPr>
        <w:t xml:space="preserve"> may </w:t>
      </w:r>
      <w:r>
        <w:rPr>
          <w:b/>
          <w:i w:val="0"/>
          <w:smallCaps w:val="0"/>
          <w:strike w:val="0"/>
          <w:sz w:val="22"/>
          <w:highlight w:val="cyan"/>
          <w:u w:val="single"/>
        </w:rPr>
        <w:t>argue</w:t>
      </w:r>
      <w:r>
        <w:rPr>
          <w:b/>
          <w:i w:val="0"/>
          <w:smallCaps w:val="0"/>
          <w:strike w:val="0"/>
          <w:sz w:val="22"/>
          <w:u w:val="single"/>
        </w:rPr>
        <w:t xml:space="preserve"> that, among other things, the pre-examination </w:t>
      </w:r>
      <w:r>
        <w:rPr>
          <w:b/>
          <w:i w:val="0"/>
          <w:smallCaps w:val="0"/>
          <w:strike w:val="0"/>
          <w:sz w:val="22"/>
          <w:highlight w:val="cyan"/>
          <w:u w:val="single"/>
        </w:rPr>
        <w:t>search</w:t>
      </w:r>
      <w:r>
        <w:rPr>
          <w:b/>
          <w:i w:val="0"/>
          <w:smallCaps w:val="0"/>
          <w:strike w:val="0"/>
          <w:sz w:val="22"/>
          <w:u w:val="single"/>
        </w:rPr>
        <w:t xml:space="preserve"> was </w:t>
      </w:r>
      <w:r>
        <w:rPr>
          <w:b/>
          <w:i w:val="0"/>
          <w:smallCaps w:val="0"/>
          <w:strike w:val="0"/>
          <w:sz w:val="24"/>
          <w:highlight w:val="cyan"/>
          <w:u w:val="single"/>
        </w:rPr>
        <w:t>insufficient</w:t>
      </w:r>
      <w:r>
        <w:rPr>
          <w:b w:val="0"/>
          <w:i w:val="0"/>
          <w:smallCaps w:val="0"/>
          <w:strike w:val="0"/>
          <w:sz w:val="16"/>
          <w:u w:val="none"/>
        </w:rPr>
        <w:t xml:space="preserve">, the </w:t>
      </w:r>
      <w:r>
        <w:rPr>
          <w:b/>
          <w:i w:val="0"/>
          <w:smallCaps w:val="0"/>
          <w:strike w:val="0"/>
          <w:sz w:val="22"/>
          <w:highlight w:val="cyan"/>
          <w:u w:val="single"/>
        </w:rPr>
        <w:t>applicant</w:t>
      </w:r>
      <w:r>
        <w:rPr>
          <w:b/>
          <w:i w:val="0"/>
          <w:smallCaps w:val="0"/>
          <w:strike w:val="0"/>
          <w:sz w:val="22"/>
          <w:u w:val="single"/>
        </w:rPr>
        <w:t xml:space="preserve"> did </w:t>
      </w:r>
      <w:r>
        <w:rPr>
          <w:b/>
          <w:i w:val="0"/>
          <w:smallCaps w:val="0"/>
          <w:strike w:val="0"/>
          <w:sz w:val="22"/>
          <w:highlight w:val="cyan"/>
          <w:u w:val="single"/>
        </w:rPr>
        <w:t xml:space="preserve">not submit all </w:t>
      </w:r>
      <w:r>
        <w:rPr>
          <w:b/>
          <w:i w:val="0"/>
          <w:smallCaps w:val="0"/>
          <w:strike w:val="0"/>
          <w:sz w:val="24"/>
          <w:highlight w:val="cyan"/>
          <w:u w:val="single"/>
        </w:rPr>
        <w:t>relevant prior art</w:t>
      </w:r>
      <w:r>
        <w:rPr>
          <w:b/>
          <w:i w:val="0"/>
          <w:smallCaps w:val="0"/>
          <w:strike w:val="0"/>
          <w:sz w:val="22"/>
          <w:u w:val="single"/>
        </w:rPr>
        <w:t xml:space="preserve"> to the PTO</w:t>
      </w:r>
      <w:r>
        <w:rPr>
          <w:b w:val="0"/>
          <w:i w:val="0"/>
          <w:smallCaps w:val="0"/>
          <w:strike w:val="0"/>
          <w:sz w:val="16"/>
          <w:u w:val="none"/>
        </w:rPr>
        <w:t xml:space="preserve">, or the applicant </w:t>
      </w:r>
      <w:r>
        <w:rPr>
          <w:b/>
          <w:i w:val="0"/>
          <w:smallCaps w:val="0"/>
          <w:strike w:val="0"/>
          <w:sz w:val="24"/>
          <w:highlight w:val="cyan"/>
          <w:u w:val="single"/>
        </w:rPr>
        <w:t>mischaracterized</w:t>
      </w:r>
      <w:r>
        <w:rPr>
          <w:b/>
          <w:i w:val="0"/>
          <w:smallCaps w:val="0"/>
          <w:strike w:val="0"/>
          <w:sz w:val="22"/>
          <w:highlight w:val="cyan"/>
          <w:u w:val="single"/>
        </w:rPr>
        <w:t xml:space="preserve"> the prior art</w:t>
      </w:r>
      <w:r>
        <w:rPr>
          <w:b w:val="0"/>
          <w:i w:val="0"/>
          <w:smallCaps w:val="0"/>
          <w:strike w:val="0"/>
          <w:sz w:val="16"/>
          <w:u w:val="none"/>
        </w:rPr>
        <w:t xml:space="preserve">.105 Thus, patent practitioners have been </w:t>
      </w:r>
      <w:r>
        <w:rPr>
          <w:b/>
          <w:i w:val="0"/>
          <w:smallCaps w:val="0"/>
          <w:strike w:val="0"/>
          <w:sz w:val="22"/>
          <w:u w:val="single"/>
        </w:rPr>
        <w:t xml:space="preserve">concerned that the </w:t>
      </w:r>
      <w:r>
        <w:rPr>
          <w:b/>
          <w:i w:val="0"/>
          <w:smallCaps w:val="0"/>
          <w:strike w:val="0"/>
          <w:sz w:val="24"/>
          <w:highlight w:val="cyan"/>
          <w:u w:val="single"/>
        </w:rPr>
        <w:t>expediency</w:t>
      </w:r>
      <w:r>
        <w:rPr>
          <w:b/>
          <w:i w:val="0"/>
          <w:smallCaps w:val="0"/>
          <w:strike w:val="0"/>
          <w:sz w:val="22"/>
          <w:u w:val="single"/>
        </w:rPr>
        <w:t xml:space="preserve"> of the revised Accelerated Examination </w:t>
      </w:r>
      <w:r>
        <w:rPr>
          <w:b/>
          <w:i w:val="0"/>
          <w:smallCaps w:val="0"/>
          <w:strike w:val="0"/>
          <w:sz w:val="24"/>
          <w:u w:val="single"/>
        </w:rPr>
        <w:t>program</w:t>
      </w:r>
      <w:r>
        <w:rPr>
          <w:b/>
          <w:i w:val="0"/>
          <w:smallCaps w:val="0"/>
          <w:strike w:val="0"/>
          <w:sz w:val="22"/>
          <w:u w:val="single"/>
        </w:rPr>
        <w:t xml:space="preserve"> may </w:t>
      </w:r>
      <w:r>
        <w:rPr>
          <w:b/>
          <w:i w:val="0"/>
          <w:smallCaps w:val="0"/>
          <w:strike w:val="0"/>
          <w:sz w:val="22"/>
          <w:highlight w:val="cyan"/>
          <w:u w:val="single"/>
        </w:rPr>
        <w:t xml:space="preserve">open them up to a </w:t>
      </w:r>
      <w:r>
        <w:rPr>
          <w:b/>
          <w:i w:val="0"/>
          <w:smallCaps w:val="0"/>
          <w:strike w:val="0"/>
          <w:sz w:val="24"/>
          <w:highlight w:val="cyan"/>
          <w:u w:val="single"/>
        </w:rPr>
        <w:t>higher legal risk</w:t>
      </w:r>
      <w:r>
        <w:rPr>
          <w:b/>
          <w:i w:val="0"/>
          <w:smallCaps w:val="0"/>
          <w:strike w:val="0"/>
          <w:sz w:val="22"/>
          <w:highlight w:val="cyan"/>
          <w:u w:val="single"/>
        </w:rPr>
        <w:t xml:space="preserve"> of having</w:t>
      </w:r>
      <w:r>
        <w:rPr>
          <w:b/>
          <w:i w:val="0"/>
          <w:smallCaps w:val="0"/>
          <w:strike w:val="0"/>
          <w:sz w:val="22"/>
          <w:u w:val="single"/>
        </w:rPr>
        <w:t xml:space="preserve"> the </w:t>
      </w:r>
      <w:r>
        <w:rPr>
          <w:b/>
          <w:i w:val="0"/>
          <w:smallCaps w:val="0"/>
          <w:strike w:val="0"/>
          <w:sz w:val="22"/>
          <w:highlight w:val="cyan"/>
          <w:u w:val="single"/>
        </w:rPr>
        <w:t xml:space="preserve">patent </w:t>
      </w:r>
      <w:r>
        <w:rPr>
          <w:b/>
          <w:i w:val="0"/>
          <w:smallCaps w:val="0"/>
          <w:strike w:val="0"/>
          <w:sz w:val="24"/>
          <w:highlight w:val="cyan"/>
          <w:u w:val="single"/>
        </w:rPr>
        <w:t>rendered invalid</w:t>
      </w:r>
      <w:r>
        <w:rPr>
          <w:b/>
          <w:i w:val="0"/>
          <w:smallCaps w:val="0"/>
          <w:strike w:val="0"/>
          <w:sz w:val="22"/>
          <w:highlight w:val="cyan"/>
          <w:u w:val="single"/>
        </w:rPr>
        <w:t xml:space="preserve"> in </w:t>
      </w:r>
      <w:r>
        <w:rPr>
          <w:b/>
          <w:i w:val="0"/>
          <w:smallCaps w:val="0"/>
          <w:strike w:val="0"/>
          <w:sz w:val="24"/>
          <w:highlight w:val="cyan"/>
          <w:u w:val="single"/>
        </w:rPr>
        <w:t>subsequent litigation</w:t>
      </w:r>
      <w:r>
        <w:rPr>
          <w:b w:val="0"/>
          <w:i w:val="0"/>
          <w:smallCaps w:val="0"/>
          <w:strike w:val="0"/>
          <w:sz w:val="16"/>
          <w:u w:val="none"/>
        </w:rPr>
        <w:t>. It is too early to know whether recent judicial and legislative actions taken to limit the availability of inequitable conduct claims will affect the popularity of the revised Accelerated Examination program.106</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