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Fast-tracking is used by </w:t>
      </w:r>
      <w:r>
        <w:rPr>
          <w:b/>
          <w:i w:val="0"/>
          <w:smallCaps w:val="0"/>
          <w:strike w:val="0"/>
          <w:sz w:val="26"/>
          <w:u w:val="single"/>
        </w:rPr>
        <w:t>10</w:t>
      </w:r>
      <w:r>
        <w:rPr>
          <w:b/>
          <w:i w:val="0"/>
          <w:smallCaps w:val="0"/>
          <w:strike w:val="0"/>
          <w:sz w:val="26"/>
          <w:u w:val="none"/>
        </w:rPr>
        <w:t xml:space="preserve"> countries globally---it doesn’t </w:t>
      </w:r>
      <w:r>
        <w:rPr>
          <w:b/>
          <w:i w:val="0"/>
          <w:smallCaps w:val="0"/>
          <w:strike w:val="0"/>
          <w:sz w:val="26"/>
          <w:u w:val="single"/>
        </w:rPr>
        <w:t>diffuse</w:t>
      </w:r>
      <w:r>
        <w:rPr>
          <w:b/>
          <w:i w:val="0"/>
          <w:smallCaps w:val="0"/>
          <w:strike w:val="0"/>
          <w:sz w:val="26"/>
          <w:u w:val="none"/>
        </w:rPr>
        <w:t xml:space="preserve"> to others, </w:t>
      </w:r>
      <w:r>
        <w:rPr>
          <w:b/>
          <w:i w:val="0"/>
          <w:smallCaps w:val="0"/>
          <w:strike w:val="0"/>
          <w:sz w:val="26"/>
          <w:u w:val="single"/>
        </w:rPr>
        <w:t>ESPECIALLY</w:t>
      </w:r>
      <w:r>
        <w:rPr>
          <w:b/>
          <w:i w:val="0"/>
          <w:smallCaps w:val="0"/>
          <w:strike w:val="0"/>
          <w:sz w:val="26"/>
          <w:u w:val="none"/>
        </w:rPr>
        <w:t xml:space="preserve"> not </w:t>
      </w:r>
      <w:r>
        <w:rPr>
          <w:b/>
          <w:i w:val="0"/>
          <w:smallCaps w:val="0"/>
          <w:strike w:val="0"/>
          <w:sz w:val="26"/>
          <w:u w:val="single"/>
        </w:rPr>
        <w:t>MENA</w:t>
      </w:r>
      <w:r>
        <w:rPr>
          <w:b/>
          <w:i w:val="0"/>
          <w:smallCaps w:val="0"/>
          <w:strike w:val="0"/>
          <w:sz w:val="26"/>
          <w:u w:val="none"/>
        </w:rPr>
        <w:t xml:space="preserve">, which the </w:t>
      </w:r>
      <w:r>
        <w:rPr>
          <w:b/>
          <w:i w:val="0"/>
          <w:smallCaps w:val="0"/>
          <w:strike w:val="0"/>
          <w:sz w:val="26"/>
          <w:u w:val="singl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is about.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Peter </w:t>
      </w:r>
      <w:r>
        <w:rPr>
          <w:b/>
          <w:i w:val="0"/>
          <w:smallCaps w:val="0"/>
          <w:strike w:val="0"/>
          <w:sz w:val="26"/>
          <w:u w:val="none"/>
        </w:rPr>
        <w:t>Jackman ’23</w:t>
      </w:r>
      <w:r>
        <w:rPr>
          <w:b w:val="0"/>
          <w:i w:val="0"/>
          <w:smallCaps w:val="0"/>
          <w:strike w:val="0"/>
          <w:u w:val="none"/>
        </w:rPr>
        <w:t xml:space="preserve"> [March 24, 2023; he’s a guy. I don’t need qualls. “Options for Accelerating Examination of Renewable Technology Patent Applications,” Pratt's Energy Law Report; https://www.sternekessler.com/news-insights/publications/options-accelerating-examination-renewable-technology-patent/]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Figure 1.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Countries with fast-track programs </w:t>
      </w:r>
      <w:r>
        <w:rPr>
          <w:b/>
          <w:i w:val="0"/>
          <w:smallCaps w:val="0"/>
          <w:strike w:val="0"/>
          <w:sz w:val="22"/>
          <w:u w:val="single"/>
        </w:rPr>
        <w:t xml:space="preserve">for green technology patent applications: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Australia, Brazil, Canada, China, Israel, Japan, South Korea, Taiwan, the United Kingdom, and the United States.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