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Every metric agrees. </w:t>
      </w:r>
    </w:p>
    <w:p>
      <w:pPr>
        <w:spacing w:after="80"/>
      </w:pPr>
      <w:r>
        <w:rPr>
          <w:b/>
          <w:i w:val="0"/>
          <w:smallCaps w:val="0"/>
          <w:strike w:val="0"/>
          <w:sz w:val="26"/>
          <w:u w:val="none"/>
        </w:rPr>
        <w:t>Caplan ‘21</w:t>
      </w:r>
      <w:r>
        <w:rPr>
          <w:b w:val="0"/>
          <w:i w:val="0"/>
          <w:smallCaps w:val="0"/>
          <w:strike w:val="0"/>
          <w:u w:val="none"/>
        </w:rPr>
        <w:t xml:space="preserve"> [Lincoln; May 4; Received a J.D. from Harvard Law School, senior research scholar and Truman Capote Visiting Lecturer in Law at Yale Law School, contributing editor of The American Scholar and of Harvard Magazine; Vanderbilt Law Review, “The SG’s Indefensible Advantage: A Comment on The Loudest Voice at the Supreme Court,” </w:t>
      </w:r>
      <w:r>
        <w:rPr>
          <w:b w:val="0"/>
          <w:i w:val="0"/>
          <w:smallCaps w:val="0"/>
          <w:strike w:val="0"/>
          <w:u w:val="none"/>
        </w:rPr>
        <w:t>https://cdn.vanderbilt.edu/vu-wordpress-0/wp-content/uploads/sites/278/2021/05/19115806/The-SGs-Indefensible-Advantage-A-Comment-on-The-Loudest-Voice-at-the-Supreme-Court.pdf</w:t>
      </w:r>
      <w:r>
        <w:rPr>
          <w:b w:val="0"/>
          <w:i w:val="0"/>
          <w:smallCaps w:val="0"/>
          <w:strike w:val="0"/>
          <w:u w:val="none"/>
        </w:rPr>
        <w:t xml:space="preserve">] </w:t>
      </w:r>
      <w:r>
        <w:rPr>
          <w:b w:val="0"/>
          <w:i w:val="0"/>
          <w:smallCaps w:val="0"/>
          <w:strike w:val="0"/>
          <w:u w:val="none"/>
        </w:rPr>
        <w:t>dedeepya</w:t>
      </w:r>
    </w:p>
    <w:p>
      <w:pPr>
        <w:spacing w:after="60"/>
      </w:pPr>
      <w:r>
        <w:rPr>
          <w:b/>
          <w:i w:val="0"/>
          <w:smallCaps w:val="0"/>
          <w:strike w:val="0"/>
          <w:sz w:val="22"/>
          <w:u w:val="single"/>
        </w:rPr>
        <w:t xml:space="preserve">What is visible </w:t>
      </w:r>
      <w:r>
        <w:rPr>
          <w:b/>
          <w:i w:val="0"/>
          <w:smallCaps w:val="0"/>
          <w:strike w:val="0"/>
          <w:sz w:val="22"/>
          <w:u w:val="single"/>
        </w:rPr>
        <w:t>understates</w:t>
      </w:r>
      <w:r>
        <w:rPr>
          <w:b/>
          <w:i w:val="0"/>
          <w:smallCaps w:val="0"/>
          <w:strike w:val="0"/>
          <w:sz w:val="22"/>
          <w:u w:val="single"/>
        </w:rPr>
        <w:t xml:space="preserve"> the closeness and the </w:t>
      </w:r>
      <w:r>
        <w:rPr>
          <w:b/>
          <w:i w:val="0"/>
          <w:smallCaps w:val="0"/>
          <w:strike w:val="0"/>
          <w:sz w:val="22"/>
          <w:u w:val="single"/>
        </w:rPr>
        <w:t>specialness</w:t>
      </w:r>
      <w:r>
        <w:rPr>
          <w:b/>
          <w:i w:val="0"/>
          <w:smallCaps w:val="0"/>
          <w:strike w:val="0"/>
          <w:sz w:val="22"/>
          <w:u w:val="single"/>
        </w:rPr>
        <w:t xml:space="preserve"> of the connections between the Court and </w:t>
      </w:r>
      <w:r>
        <w:rPr>
          <w:b/>
          <w:i w:val="0"/>
          <w:smallCaps w:val="0"/>
          <w:strike w:val="0"/>
          <w:sz w:val="22"/>
          <w:u w:val="single"/>
        </w:rPr>
        <w:t xml:space="preserve">the </w:t>
      </w:r>
      <w:r>
        <w:rPr>
          <w:b/>
          <w:i w:val="0"/>
          <w:smallCaps w:val="0"/>
          <w:strike w:val="0"/>
          <w:sz w:val="22"/>
          <w:u w:val="single"/>
        </w:rPr>
        <w:t>SG’s</w:t>
      </w:r>
      <w:r>
        <w:rPr>
          <w:b/>
          <w:i w:val="0"/>
          <w:smallCaps w:val="0"/>
          <w:strike w:val="0"/>
          <w:sz w:val="22"/>
          <w:u w:val="single"/>
        </w:rPr>
        <w:t xml:space="preserve"> office</w:t>
      </w:r>
      <w:r>
        <w:rPr>
          <w:b w:val="0"/>
          <w:i w:val="0"/>
          <w:smallCaps w:val="0"/>
          <w:strike w:val="0"/>
          <w:sz w:val="16"/>
          <w:u w:val="none"/>
        </w:rPr>
        <w:t>,</w:t>
      </w:r>
      <w:r>
        <w:rPr>
          <w:b w:val="0"/>
          <w:i w:val="0"/>
          <w:smallCaps w:val="0"/>
          <w:strike w:val="0"/>
          <w:sz w:val="16"/>
          <w:u w:val="none"/>
        </w:rPr>
        <w:t xml:space="preserve"> which become clearer the more you learn about the behind-the scenes dealings between them. As Vladeck </w:t>
      </w:r>
      <w:r>
        <w:rPr>
          <w:b w:val="0"/>
          <w:i w:val="0"/>
          <w:smallCaps w:val="0"/>
          <w:strike w:val="0"/>
          <w:sz w:val="16"/>
          <w:u w:val="none"/>
        </w:rPr>
        <w:t>wrote in the Harvard Law Review in 2019,</w:t>
      </w:r>
      <w:r>
        <w:rPr>
          <w:b w:val="0"/>
          <w:i w:val="0"/>
          <w:smallCaps w:val="0"/>
          <w:strike w:val="0"/>
          <w:sz w:val="16"/>
          <w:u w:val="none"/>
        </w:rPr>
        <w:t xml:space="preserve"> </w:t>
      </w:r>
      <w:r>
        <w:rPr>
          <w:b w:val="0"/>
          <w:i w:val="0"/>
          <w:smallCaps w:val="0"/>
          <w:strike w:val="0"/>
          <w:sz w:val="16"/>
          <w:u w:val="none"/>
        </w:rPr>
        <w:t>“</w:t>
      </w:r>
      <w:r>
        <w:rPr>
          <w:b/>
          <w:i w:val="0"/>
          <w:smallCaps w:val="0"/>
          <w:strike w:val="0"/>
          <w:sz w:val="22"/>
          <w:u w:val="single"/>
        </w:rPr>
        <w:t>the Court’s rules</w:t>
      </w:r>
      <w:r>
        <w:rPr>
          <w:b w:val="0"/>
          <w:i w:val="0"/>
          <w:smallCaps w:val="0"/>
          <w:strike w:val="0"/>
          <w:sz w:val="16"/>
          <w:u w:val="none"/>
        </w:rPr>
        <w:t xml:space="preserve"> and traditions both formally and informally </w:t>
      </w:r>
      <w:r>
        <w:rPr>
          <w:b/>
          <w:i w:val="0"/>
          <w:smallCaps w:val="0"/>
          <w:strike w:val="0"/>
          <w:sz w:val="22"/>
          <w:u w:val="single"/>
        </w:rPr>
        <w:t xml:space="preserve">privilege the Solicitor General as the </w:t>
      </w:r>
      <w:r>
        <w:rPr>
          <w:b/>
          <w:i w:val="0"/>
          <w:smallCaps w:val="0"/>
          <w:strike w:val="0"/>
          <w:sz w:val="22"/>
          <w:u w:val="single"/>
        </w:rPr>
        <w:t>de facto head</w:t>
      </w:r>
      <w:r>
        <w:rPr>
          <w:b/>
          <w:i w:val="0"/>
          <w:smallCaps w:val="0"/>
          <w:strike w:val="0"/>
          <w:sz w:val="22"/>
          <w:u w:val="single"/>
        </w:rPr>
        <w:t xml:space="preserve"> of the Court’s bar</w:t>
      </w:r>
      <w:r>
        <w:rPr>
          <w:b w:val="0"/>
          <w:i w:val="0"/>
          <w:smallCaps w:val="0"/>
          <w:strike w:val="0"/>
          <w:sz w:val="16"/>
          <w:u w:val="none"/>
        </w:rPr>
        <w:t>—</w:t>
      </w:r>
      <w:r>
        <w:rPr>
          <w:b/>
          <w:i w:val="0"/>
          <w:smallCaps w:val="0"/>
          <w:strike w:val="0"/>
          <w:sz w:val="22"/>
          <w:u w:val="single"/>
        </w:rPr>
        <w:t xml:space="preserve">and show </w:t>
      </w:r>
      <w:r>
        <w:rPr>
          <w:b/>
          <w:i w:val="0"/>
          <w:smallCaps w:val="0"/>
          <w:strike w:val="0"/>
          <w:sz w:val="22"/>
          <w:u w:val="single"/>
        </w:rPr>
        <w:t>special solicitude</w:t>
      </w:r>
      <w:r>
        <w:rPr>
          <w:b/>
          <w:i w:val="0"/>
          <w:smallCaps w:val="0"/>
          <w:strike w:val="0"/>
          <w:sz w:val="22"/>
          <w:u w:val="single"/>
        </w:rPr>
        <w:t xml:space="preserve"> to the </w:t>
      </w:r>
      <w:r>
        <w:rPr>
          <w:b/>
          <w:i w:val="0"/>
          <w:smallCaps w:val="0"/>
          <w:strike w:val="0"/>
          <w:sz w:val="22"/>
          <w:u w:val="single"/>
        </w:rPr>
        <w:t>Solicitor General</w:t>
      </w:r>
      <w:r>
        <w:rPr>
          <w:b/>
          <w:i w:val="0"/>
          <w:smallCaps w:val="0"/>
          <w:strike w:val="0"/>
          <w:sz w:val="22"/>
          <w:u w:val="single"/>
        </w:rPr>
        <w:t xml:space="preserve"> across a constellation of considerations</w:t>
      </w:r>
      <w:r>
        <w:rPr>
          <w:b w:val="0"/>
          <w:i w:val="0"/>
          <w:smallCaps w:val="0"/>
          <w:strike w:val="0"/>
          <w:sz w:val="16"/>
          <w:u w:val="none"/>
        </w:rPr>
        <w:t>.”46 With the SG and the SG’s office often functioning</w:t>
      </w:r>
      <w:r>
        <w:rPr>
          <w:b w:val="0"/>
          <w:i w:val="0"/>
          <w:smallCaps w:val="0"/>
          <w:strike w:val="0"/>
          <w:sz w:val="16"/>
          <w:u w:val="none"/>
        </w:rPr>
        <w:t xml:space="preserve"> </w:t>
      </w:r>
      <w:r>
        <w:rPr>
          <w:b w:val="0"/>
          <w:i w:val="0"/>
          <w:smallCaps w:val="0"/>
          <w:strike w:val="0"/>
          <w:sz w:val="16"/>
          <w:u w:val="none"/>
        </w:rPr>
        <w:t xml:space="preserve">as counselors to the Court, the Court favors them. </w:t>
      </w:r>
    </w:p>
    <w:p>
      <w:pPr>
        <w:spacing w:after="60"/>
      </w:pPr>
      <w:r>
        <w:rPr>
          <w:b w:val="0"/>
          <w:i w:val="0"/>
          <w:smallCaps w:val="0"/>
          <w:strike w:val="0"/>
          <w:sz w:val="16"/>
          <w:u w:val="none"/>
        </w:rPr>
        <w:t xml:space="preserve">Still, </w:t>
      </w:r>
      <w:r>
        <w:rPr>
          <w:b/>
          <w:i w:val="0"/>
          <w:smallCaps w:val="0"/>
          <w:strike w:val="0"/>
          <w:sz w:val="22"/>
          <w:u w:val="single"/>
        </w:rPr>
        <w:t xml:space="preserve">those </w:t>
      </w:r>
      <w:r>
        <w:rPr>
          <w:b/>
          <w:i w:val="0"/>
          <w:smallCaps w:val="0"/>
          <w:strike w:val="0"/>
          <w:sz w:val="22"/>
          <w:u w:val="single"/>
        </w:rPr>
        <w:t>visible markings</w:t>
      </w:r>
      <w:r>
        <w:rPr>
          <w:b/>
          <w:i w:val="0"/>
          <w:smallCaps w:val="0"/>
          <w:strike w:val="0"/>
          <w:sz w:val="22"/>
          <w:u w:val="single"/>
        </w:rPr>
        <w:t xml:space="preserve"> make clear how much the </w:t>
      </w:r>
      <w:r>
        <w:rPr>
          <w:b/>
          <w:i w:val="0"/>
          <w:smallCaps w:val="0"/>
          <w:strike w:val="0"/>
          <w:sz w:val="22"/>
          <w:u w:val="single"/>
        </w:rPr>
        <w:t xml:space="preserve">Court favors </w:t>
      </w:r>
      <w:r>
        <w:rPr>
          <w:b/>
          <w:i w:val="0"/>
          <w:smallCaps w:val="0"/>
          <w:strike w:val="0"/>
          <w:sz w:val="22"/>
          <w:u w:val="single"/>
        </w:rPr>
        <w:t>the SG</w:t>
      </w:r>
      <w:r>
        <w:rPr>
          <w:b/>
          <w:i w:val="0"/>
          <w:smallCaps w:val="0"/>
          <w:strike w:val="0"/>
          <w:sz w:val="22"/>
          <w:u w:val="single"/>
        </w:rPr>
        <w:t xml:space="preserve"> and the SG’s office</w:t>
      </w:r>
      <w:r>
        <w:rPr>
          <w:b w:val="0"/>
          <w:i w:val="0"/>
          <w:smallCaps w:val="0"/>
          <w:strike w:val="0"/>
          <w:sz w:val="16"/>
          <w:u w:val="none"/>
        </w:rPr>
        <w:t xml:space="preserve">. </w:t>
      </w:r>
      <w:r>
        <w:rPr>
          <w:b/>
          <w:i w:val="0"/>
          <w:smallCaps w:val="0"/>
          <w:strike w:val="0"/>
          <w:sz w:val="22"/>
          <w:u w:val="single"/>
        </w:rPr>
        <w:t xml:space="preserve">By every measure that matters—the percentage of petitions for </w:t>
      </w:r>
      <w:r>
        <w:rPr>
          <w:b/>
          <w:i w:val="0"/>
          <w:smallCaps w:val="0"/>
          <w:strike w:val="0"/>
          <w:sz w:val="22"/>
          <w:u w:val="single"/>
        </w:rPr>
        <w:t>writs of certiorari</w:t>
      </w:r>
      <w:r>
        <w:rPr>
          <w:b/>
          <w:i w:val="0"/>
          <w:smallCaps w:val="0"/>
          <w:strike w:val="0"/>
          <w:sz w:val="22"/>
          <w:u w:val="single"/>
        </w:rPr>
        <w:t xml:space="preserve"> from the SG that the </w:t>
      </w:r>
      <w:r>
        <w:rPr>
          <w:b/>
          <w:i w:val="0"/>
          <w:smallCaps w:val="0"/>
          <w:strike w:val="0"/>
          <w:sz w:val="22"/>
          <w:u w:val="single"/>
        </w:rPr>
        <w:t>Court has accepted</w:t>
      </w:r>
      <w:r>
        <w:rPr>
          <w:b w:val="0"/>
          <w:i w:val="0"/>
          <w:smallCaps w:val="0"/>
          <w:strike w:val="0"/>
          <w:sz w:val="16"/>
          <w:u w:val="none"/>
        </w:rPr>
        <w:t xml:space="preserve">; the percentage of cases the SG has won as a party; </w:t>
      </w:r>
      <w:r>
        <w:rPr>
          <w:b/>
          <w:i w:val="0"/>
          <w:smallCaps w:val="0"/>
          <w:strike w:val="0"/>
          <w:sz w:val="22"/>
          <w:u w:val="single"/>
        </w:rPr>
        <w:t>the percentage of</w:t>
      </w:r>
      <w:r>
        <w:rPr>
          <w:b w:val="0"/>
          <w:i w:val="0"/>
          <w:smallCaps w:val="0"/>
          <w:strike w:val="0"/>
          <w:sz w:val="16"/>
          <w:u w:val="none"/>
        </w:rPr>
        <w:t xml:space="preserve"> </w:t>
      </w:r>
      <w:r>
        <w:rPr>
          <w:b/>
          <w:i w:val="0"/>
          <w:smallCaps w:val="0"/>
          <w:strike w:val="0"/>
          <w:sz w:val="22"/>
          <w:u w:val="single"/>
        </w:rPr>
        <w:t>cases</w:t>
      </w:r>
      <w:r>
        <w:rPr>
          <w:b/>
          <w:i w:val="0"/>
          <w:smallCaps w:val="0"/>
          <w:strike w:val="0"/>
          <w:sz w:val="22"/>
          <w:u w:val="single"/>
        </w:rPr>
        <w:t xml:space="preserve"> the SG has won as an amicus curiae</w:t>
      </w:r>
      <w:r>
        <w:rPr>
          <w:b w:val="0"/>
          <w:i w:val="0"/>
          <w:smallCaps w:val="0"/>
          <w:strike w:val="0"/>
          <w:sz w:val="16"/>
          <w:u w:val="none"/>
        </w:rPr>
        <w:t xml:space="preserve">, or friend of the Court; </w:t>
      </w:r>
      <w:r>
        <w:rPr>
          <w:b/>
          <w:i w:val="0"/>
          <w:smallCaps w:val="0"/>
          <w:strike w:val="0"/>
          <w:sz w:val="22"/>
          <w:u w:val="single"/>
        </w:rPr>
        <w:t xml:space="preserve">the percentage of the </w:t>
      </w:r>
      <w:r>
        <w:rPr>
          <w:b/>
          <w:i w:val="0"/>
          <w:smallCaps w:val="0"/>
          <w:strike w:val="0"/>
          <w:sz w:val="22"/>
          <w:u w:val="single"/>
        </w:rPr>
        <w:t>SG’s requests</w:t>
      </w:r>
      <w:r>
        <w:rPr>
          <w:b/>
          <w:i w:val="0"/>
          <w:smallCaps w:val="0"/>
          <w:strike w:val="0"/>
          <w:sz w:val="22"/>
          <w:u w:val="single"/>
        </w:rPr>
        <w:t xml:space="preserve"> to make oral arguments as an amicus that the </w:t>
      </w:r>
      <w:r>
        <w:rPr>
          <w:b/>
          <w:i w:val="0"/>
          <w:smallCaps w:val="0"/>
          <w:strike w:val="0"/>
          <w:sz w:val="22"/>
          <w:u w:val="single"/>
        </w:rPr>
        <w:t>Court has granted</w:t>
      </w:r>
      <w:r>
        <w:rPr>
          <w:b w:val="0"/>
          <w:i w:val="0"/>
          <w:smallCaps w:val="0"/>
          <w:strike w:val="0"/>
          <w:sz w:val="16"/>
          <w:u w:val="none"/>
        </w:rPr>
        <w:t xml:space="preserve">; the increase in success of parties other than the government when the SG is an amicus on behalf of those parties—the </w:t>
      </w:r>
      <w:r>
        <w:rPr>
          <w:b/>
          <w:i w:val="0"/>
          <w:smallCaps w:val="0"/>
          <w:strike w:val="0"/>
          <w:sz w:val="22"/>
          <w:u w:val="single"/>
        </w:rPr>
        <w:t>record</w:t>
      </w:r>
      <w:r>
        <w:rPr>
          <w:b/>
          <w:i w:val="0"/>
          <w:smallCaps w:val="0"/>
          <w:strike w:val="0"/>
          <w:sz w:val="22"/>
          <w:u w:val="single"/>
        </w:rPr>
        <w:t xml:space="preserve"> of the SG’s office</w:t>
      </w:r>
      <w:r>
        <w:rPr>
          <w:b w:val="0"/>
          <w:i w:val="0"/>
          <w:smallCaps w:val="0"/>
          <w:strike w:val="0"/>
          <w:sz w:val="16"/>
          <w:u w:val="none"/>
        </w:rPr>
        <w:t>, going back generations</w:t>
      </w:r>
      <w:r>
        <w:rPr>
          <w:b/>
          <w:i w:val="0"/>
          <w:smallCaps w:val="0"/>
          <w:strike w:val="0"/>
          <w:sz w:val="22"/>
          <w:u w:val="single"/>
        </w:rPr>
        <w:t xml:space="preserve">, is </w:t>
      </w:r>
      <w:r>
        <w:rPr>
          <w:b/>
          <w:i w:val="0"/>
          <w:smallCaps w:val="0"/>
          <w:strike w:val="0"/>
          <w:sz w:val="22"/>
          <w:u w:val="single"/>
        </w:rPr>
        <w:t>much better</w:t>
      </w:r>
      <w:r>
        <w:rPr>
          <w:b/>
          <w:i w:val="0"/>
          <w:smallCaps w:val="0"/>
          <w:strike w:val="0"/>
          <w:sz w:val="22"/>
          <w:u w:val="single"/>
        </w:rPr>
        <w:t xml:space="preserve"> than any other advocate’s</w:t>
      </w:r>
      <w:r>
        <w:rPr>
          <w:b w:val="0"/>
          <w:i w:val="0"/>
          <w:smallCaps w:val="0"/>
          <w:strike w:val="0"/>
          <w:sz w:val="16"/>
          <w:u w:val="none"/>
        </w:rPr>
        <w:t>.47</w:t>
      </w:r>
    </w:p>
    <w:p>
      <w:pPr>
        <w:spacing w:after="60"/>
      </w:pPr>
      <w:r>
        <w:rPr>
          <w:b w:val="0"/>
          <w:i w:val="0"/>
          <w:smallCaps w:val="0"/>
          <w:strike w:val="0"/>
          <w:sz w:val="16"/>
          <w:u w:val="none"/>
        </w:rPr>
        <w:t>In 2013</w:t>
      </w:r>
      <w:r>
        <w:rPr>
          <w:b w:val="0"/>
          <w:i w:val="0"/>
          <w:smallCaps w:val="0"/>
          <w:strike w:val="0"/>
          <w:sz w:val="16"/>
          <w:u w:val="none"/>
        </w:rPr>
        <w:t>, the political scientists Ryan C. Black and Ryan J. Owens published an article assessing why the</w:t>
      </w:r>
      <w:r>
        <w:rPr>
          <w:b/>
          <w:i w:val="0"/>
          <w:smallCaps w:val="0"/>
          <w:strike w:val="0"/>
          <w:sz w:val="22"/>
          <w:u w:val="single"/>
        </w:rPr>
        <w:t xml:space="preserve"> </w:t>
      </w:r>
      <w:r>
        <w:rPr>
          <w:b/>
          <w:i w:val="0"/>
          <w:smallCaps w:val="0"/>
          <w:strike w:val="0"/>
          <w:sz w:val="22"/>
          <w:u w:val="single"/>
        </w:rPr>
        <w:t>SG’s office</w:t>
      </w:r>
      <w:r>
        <w:rPr>
          <w:b/>
          <w:i w:val="0"/>
          <w:smallCaps w:val="0"/>
          <w:strike w:val="0"/>
          <w:sz w:val="22"/>
          <w:u w:val="single"/>
        </w:rPr>
        <w:t xml:space="preserve"> “wins the </w:t>
      </w:r>
      <w:r>
        <w:rPr>
          <w:b/>
          <w:i w:val="0"/>
          <w:smallCaps w:val="0"/>
          <w:strike w:val="0"/>
          <w:sz w:val="22"/>
          <w:u w:val="single"/>
        </w:rPr>
        <w:t>vast majority</w:t>
      </w:r>
      <w:r>
        <w:rPr>
          <w:b/>
          <w:i w:val="0"/>
          <w:smallCaps w:val="0"/>
          <w:strike w:val="0"/>
          <w:sz w:val="22"/>
          <w:u w:val="single"/>
        </w:rPr>
        <w:t xml:space="preserve"> of Supreme Court cases in which it </w:t>
      </w:r>
      <w:r>
        <w:rPr>
          <w:b/>
          <w:i w:val="0"/>
          <w:smallCaps w:val="0"/>
          <w:strike w:val="0"/>
          <w:sz w:val="22"/>
          <w:u w:val="single"/>
        </w:rPr>
        <w:t>participates</w:t>
      </w:r>
      <w:r>
        <w:rPr>
          <w:b/>
          <w:i w:val="0"/>
          <w:smallCaps w:val="0"/>
          <w:strike w:val="0"/>
          <w:sz w:val="22"/>
          <w:u w:val="single"/>
        </w:rPr>
        <w:t>.”</w:t>
      </w:r>
      <w:r>
        <w:rPr>
          <w:b w:val="0"/>
          <w:i w:val="0"/>
          <w:smallCaps w:val="0"/>
          <w:strike w:val="0"/>
          <w:sz w:val="16"/>
          <w:u w:val="none"/>
        </w:rPr>
        <w:t>48 They concluded what the record shows: lawyers in the office “wield significant influence over the Court and enjoy a built-in advantage” based on “the office’s longstanding relationship with the Court” as well as the skill, expertise, and experience of its lawyers—a quality the authors term “professionalism.”49 Black and Owens questioned whether this advantage is warranted: “the findings suggest researchers should examine more fully the Office of the Solicitor General.”50</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