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Solicitor general’s order signals patent credibility and expertise. </w:t>
      </w:r>
    </w:p>
    <w:p>
      <w:pPr>
        <w:spacing w:after="80"/>
      </w:pPr>
      <w:r>
        <w:rPr>
          <w:b/>
          <w:i w:val="0"/>
          <w:smallCaps w:val="0"/>
          <w:strike w:val="0"/>
          <w:sz w:val="26"/>
          <w:u w:val="none"/>
        </w:rPr>
        <w:t>Duffy ’10</w:t>
      </w:r>
      <w:r>
        <w:rPr>
          <w:b w:val="0"/>
          <w:i w:val="0"/>
          <w:smallCaps w:val="0"/>
          <w:strike w:val="0"/>
          <w:u w:val="none"/>
        </w:rPr>
        <w:t xml:space="preserve"> [John F; April 14; Professor of Law at University of Virginia School of Law; SSRN, “The Federal Circuit in the Shadow of the Solicitor General,” </w:t>
      </w:r>
      <w:r>
        <w:rPr>
          <w:b w:val="0"/>
          <w:i w:val="0"/>
          <w:smallCaps w:val="0"/>
          <w:strike w:val="0"/>
          <w:u w:val="none"/>
        </w:rPr>
        <w:t>https://papers.ssrn.com/sol3/papers.cfm?abstract_id=3162771</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The </w:t>
      </w:r>
      <w:r>
        <w:rPr>
          <w:b/>
          <w:i w:val="0"/>
          <w:smallCaps w:val="0"/>
          <w:strike w:val="0"/>
          <w:sz w:val="22"/>
          <w:u w:val="single"/>
        </w:rPr>
        <w:t>absence of CVSG orders</w:t>
      </w:r>
      <w:r>
        <w:rPr>
          <w:b/>
          <w:i w:val="0"/>
          <w:smallCaps w:val="0"/>
          <w:strike w:val="0"/>
          <w:sz w:val="22"/>
          <w:u w:val="single"/>
        </w:rPr>
        <w:t xml:space="preserve"> in patent cases is</w:t>
      </w:r>
      <w:r>
        <w:rPr>
          <w:b w:val="0"/>
          <w:i w:val="0"/>
          <w:smallCaps w:val="0"/>
          <w:strike w:val="0"/>
          <w:sz w:val="16"/>
          <w:u w:val="none"/>
        </w:rPr>
        <w:t xml:space="preserve"> especially </w:t>
      </w:r>
      <w:r>
        <w:rPr>
          <w:b/>
          <w:i w:val="0"/>
          <w:smallCaps w:val="0"/>
          <w:strike w:val="0"/>
          <w:sz w:val="22"/>
          <w:u w:val="single"/>
        </w:rPr>
        <w:t>telling</w:t>
      </w:r>
      <w:r>
        <w:rPr>
          <w:b w:val="0"/>
          <w:i w:val="0"/>
          <w:smallCaps w:val="0"/>
          <w:strike w:val="0"/>
          <w:sz w:val="16"/>
          <w:u w:val="none"/>
        </w:rPr>
        <w:t xml:space="preserve"> because </w:t>
      </w:r>
      <w:r>
        <w:rPr>
          <w:b/>
          <w:i w:val="0"/>
          <w:smallCaps w:val="0"/>
          <w:strike w:val="0"/>
          <w:sz w:val="22"/>
          <w:u w:val="single"/>
        </w:rPr>
        <w:t>CVSGs are</w:t>
      </w:r>
      <w:r>
        <w:rPr>
          <w:b w:val="0"/>
          <w:i w:val="0"/>
          <w:smallCaps w:val="0"/>
          <w:strike w:val="0"/>
          <w:sz w:val="16"/>
          <w:u w:val="none"/>
        </w:rPr>
        <w:t xml:space="preserve"> thought to be </w:t>
      </w:r>
      <w:r>
        <w:rPr>
          <w:b/>
          <w:i w:val="0"/>
          <w:smallCaps w:val="0"/>
          <w:strike w:val="0"/>
          <w:sz w:val="22"/>
          <w:u w:val="single"/>
        </w:rPr>
        <w:t xml:space="preserve">issued where the </w:t>
      </w:r>
      <w:r>
        <w:rPr>
          <w:b/>
          <w:i w:val="0"/>
          <w:smallCaps w:val="0"/>
          <w:strike w:val="0"/>
          <w:sz w:val="22"/>
          <w:u w:val="single"/>
        </w:rPr>
        <w:t>Court believes</w:t>
      </w:r>
      <w:r>
        <w:rPr>
          <w:b/>
          <w:i w:val="0"/>
          <w:smallCaps w:val="0"/>
          <w:strike w:val="0"/>
          <w:sz w:val="22"/>
          <w:u w:val="single"/>
        </w:rPr>
        <w:t xml:space="preserve"> the case for granting certiorari is </w:t>
      </w:r>
      <w:r>
        <w:rPr>
          <w:b/>
          <w:i w:val="0"/>
          <w:smallCaps w:val="0"/>
          <w:strike w:val="0"/>
          <w:sz w:val="22"/>
          <w:u w:val="single"/>
        </w:rPr>
        <w:t>close</w:t>
      </w:r>
      <w:r>
        <w:rPr>
          <w:b w:val="0"/>
          <w:i w:val="0"/>
          <w:smallCaps w:val="0"/>
          <w:strike w:val="0"/>
          <w:sz w:val="16"/>
          <w:u w:val="none"/>
        </w:rPr>
        <w:t xml:space="preserve">, the case is complex, </w:t>
      </w:r>
      <w:r>
        <w:rPr>
          <w:b/>
          <w:i w:val="0"/>
          <w:smallCaps w:val="0"/>
          <w:strike w:val="0"/>
          <w:sz w:val="22"/>
          <w:u w:val="single"/>
        </w:rPr>
        <w:t xml:space="preserve">and a component of the government may have some </w:t>
      </w:r>
      <w:r>
        <w:rPr>
          <w:b/>
          <w:i w:val="0"/>
          <w:smallCaps w:val="0"/>
          <w:strike w:val="0"/>
          <w:sz w:val="22"/>
          <w:u w:val="single"/>
        </w:rPr>
        <w:t>relevant expertise or interest</w:t>
      </w:r>
      <w:r>
        <w:rPr>
          <w:b/>
          <w:i w:val="0"/>
          <w:smallCaps w:val="0"/>
          <w:strike w:val="0"/>
          <w:sz w:val="22"/>
          <w:u w:val="single"/>
        </w:rPr>
        <w:t xml:space="preserve"> in the issue.</w:t>
      </w:r>
      <w:r>
        <w:rPr>
          <w:b w:val="0"/>
          <w:i w:val="0"/>
          <w:smallCaps w:val="0"/>
          <w:strike w:val="0"/>
          <w:sz w:val="16"/>
          <w:u w:val="none"/>
        </w:rPr>
        <w:t xml:space="preserve">37 </w:t>
      </w:r>
      <w:r>
        <w:rPr>
          <w:b/>
          <w:i w:val="0"/>
          <w:smallCaps w:val="0"/>
          <w:strike w:val="0"/>
          <w:sz w:val="22"/>
          <w:u w:val="single"/>
        </w:rPr>
        <w:t>Patent cases</w:t>
      </w:r>
      <w:r>
        <w:rPr>
          <w:b/>
          <w:i w:val="0"/>
          <w:smallCaps w:val="0"/>
          <w:strike w:val="0"/>
          <w:sz w:val="22"/>
          <w:u w:val="single"/>
        </w:rPr>
        <w:t xml:space="preserve"> are typically </w:t>
      </w:r>
      <w:r>
        <w:rPr>
          <w:b/>
          <w:i w:val="0"/>
          <w:smallCaps w:val="0"/>
          <w:strike w:val="0"/>
          <w:sz w:val="22"/>
          <w:u w:val="single"/>
        </w:rPr>
        <w:t>complex</w:t>
      </w:r>
      <w:r>
        <w:rPr>
          <w:b/>
          <w:i w:val="0"/>
          <w:smallCaps w:val="0"/>
          <w:strike w:val="0"/>
          <w:sz w:val="22"/>
          <w:u w:val="single"/>
        </w:rPr>
        <w:t>, and</w:t>
      </w:r>
      <w:r>
        <w:rPr>
          <w:b w:val="0"/>
          <w:i w:val="0"/>
          <w:smallCaps w:val="0"/>
          <w:strike w:val="0"/>
          <w:sz w:val="16"/>
          <w:u w:val="none"/>
        </w:rPr>
        <w:t xml:space="preserve"> the PTO (a component of the government represented by </w:t>
      </w:r>
      <w:r>
        <w:rPr>
          <w:b/>
          <w:i w:val="0"/>
          <w:smallCaps w:val="0"/>
          <w:strike w:val="0"/>
          <w:sz w:val="22"/>
          <w:u w:val="single"/>
        </w:rPr>
        <w:t xml:space="preserve">the </w:t>
      </w:r>
      <w:r>
        <w:rPr>
          <w:b/>
          <w:i w:val="0"/>
          <w:smallCaps w:val="0"/>
          <w:strike w:val="0"/>
          <w:sz w:val="22"/>
          <w:u w:val="single"/>
        </w:rPr>
        <w:t>Solicitor General</w:t>
      </w:r>
      <w:r>
        <w:rPr>
          <w:b/>
          <w:i w:val="0"/>
          <w:smallCaps w:val="0"/>
          <w:strike w:val="0"/>
          <w:sz w:val="22"/>
          <w:u w:val="single"/>
        </w:rPr>
        <w:t xml:space="preserve"> at the Court) has both </w:t>
      </w:r>
      <w:r>
        <w:rPr>
          <w:b/>
          <w:i w:val="0"/>
          <w:smallCaps w:val="0"/>
          <w:strike w:val="0"/>
          <w:sz w:val="22"/>
          <w:u w:val="single"/>
        </w:rPr>
        <w:t>great expertise</w:t>
      </w:r>
      <w:r>
        <w:rPr>
          <w:b/>
          <w:i w:val="0"/>
          <w:smallCaps w:val="0"/>
          <w:strike w:val="0"/>
          <w:sz w:val="22"/>
          <w:u w:val="single"/>
        </w:rPr>
        <w:t xml:space="preserve"> in the </w:t>
      </w:r>
      <w:r>
        <w:rPr>
          <w:b/>
          <w:i w:val="0"/>
          <w:smallCaps w:val="0"/>
          <w:strike w:val="0"/>
          <w:sz w:val="22"/>
          <w:u w:val="single"/>
        </w:rPr>
        <w:t>patent system</w:t>
      </w:r>
      <w:r>
        <w:rPr>
          <w:b/>
          <w:i w:val="0"/>
          <w:smallCaps w:val="0"/>
          <w:strike w:val="0"/>
          <w:sz w:val="22"/>
          <w:u w:val="single"/>
        </w:rPr>
        <w:t xml:space="preserve"> and a significant interest in assuring the system’s proper functioning</w:t>
      </w:r>
      <w:r>
        <w:rPr>
          <w:b w:val="0"/>
          <w:i w:val="0"/>
          <w:smallCaps w:val="0"/>
          <w:strike w:val="0"/>
          <w:sz w:val="16"/>
          <w:u w:val="none"/>
        </w:rPr>
        <w:t xml:space="preserve">.38 Thus, the </w:t>
      </w:r>
      <w:r>
        <w:rPr>
          <w:b/>
          <w:i w:val="0"/>
          <w:smallCaps w:val="0"/>
          <w:strike w:val="0"/>
          <w:sz w:val="22"/>
          <w:u w:val="single"/>
        </w:rPr>
        <w:t>absence of CVSGs</w:t>
      </w:r>
      <w:r>
        <w:rPr>
          <w:b w:val="0"/>
          <w:i w:val="0"/>
          <w:smallCaps w:val="0"/>
          <w:strike w:val="0"/>
          <w:sz w:val="16"/>
          <w:u w:val="none"/>
        </w:rPr>
        <w:t xml:space="preserve"> prior to 1994 </w:t>
      </w:r>
      <w:r>
        <w:rPr>
          <w:b/>
          <w:i w:val="0"/>
          <w:smallCaps w:val="0"/>
          <w:strike w:val="0"/>
          <w:sz w:val="22"/>
          <w:u w:val="single"/>
        </w:rPr>
        <w:t xml:space="preserve">suggests that not only was the </w:t>
      </w:r>
      <w:r>
        <w:rPr>
          <w:b/>
          <w:i w:val="0"/>
          <w:smallCaps w:val="0"/>
          <w:strike w:val="0"/>
          <w:sz w:val="22"/>
          <w:u w:val="single"/>
        </w:rPr>
        <w:t>Court</w:t>
      </w:r>
      <w:r>
        <w:rPr>
          <w:b/>
          <w:i w:val="0"/>
          <w:smallCaps w:val="0"/>
          <w:strike w:val="0"/>
          <w:sz w:val="22"/>
          <w:u w:val="single"/>
        </w:rPr>
        <w:t xml:space="preserve"> granting very few petitions for certiorari in patent cases, but it also was </w:t>
      </w:r>
      <w:r>
        <w:rPr>
          <w:b/>
          <w:i w:val="0"/>
          <w:smallCaps w:val="0"/>
          <w:strike w:val="0"/>
          <w:sz w:val="22"/>
          <w:u w:val="single"/>
        </w:rPr>
        <w:t>not seriously considering</w:t>
      </w:r>
      <w:r>
        <w:rPr>
          <w:b/>
          <w:i w:val="0"/>
          <w:smallCaps w:val="0"/>
          <w:strike w:val="0"/>
          <w:sz w:val="22"/>
          <w:u w:val="single"/>
        </w:rPr>
        <w:t xml:space="preserve"> granting many such </w:t>
      </w:r>
      <w:r>
        <w:rPr>
          <w:b/>
          <w:i w:val="0"/>
          <w:smallCaps w:val="0"/>
          <w:strike w:val="0"/>
          <w:sz w:val="22"/>
          <w:u w:val="single"/>
        </w:rPr>
        <w:t>petitions</w:t>
      </w:r>
      <w:r>
        <w:rPr>
          <w:b w:val="0"/>
          <w:i w:val="0"/>
          <w:smallCaps w:val="0"/>
          <w:strike w:val="0"/>
          <w:sz w:val="16"/>
          <w:u w:val="none"/>
        </w:rPr>
        <w:t>.in the issue.37 Patent cases are typically complex, and the PTO (a component of the government represented by the Solicitor General at the Court) has both great expertise in the patent system and a significant interest in assuring the system’s proper functioning.38 Thus, the absence of CVSGs prior to 1994 suggests that not only was the Court granting very few petitions for certiorari in patent cases, but it also was not seriously considering granting many such petitions.</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