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4"/>
        <w:spacing w:after="60"/>
      </w:pPr>
      <w:r>
        <w:rPr>
          <w:b/>
          <w:i w:val="0"/>
          <w:smallCaps w:val="0"/>
          <w:strike w:val="0"/>
          <w:sz w:val="26"/>
          <w:u w:val="none"/>
        </w:rPr>
        <w:t>Near perfect alignment in patent cases now</w:t>
      </w:r>
    </w:p>
    <w:p>
      <w:pPr>
        <w:spacing w:after="80"/>
      </w:pPr>
      <w:r>
        <w:rPr>
          <w:b/>
          <w:i w:val="0"/>
          <w:smallCaps w:val="0"/>
          <w:strike w:val="0"/>
          <w:sz w:val="26"/>
          <w:u w:val="none"/>
        </w:rPr>
        <w:t>Samuelson 23</w:t>
      </w:r>
      <w:r>
        <w:rPr>
          <w:b w:val="0"/>
          <w:i w:val="0"/>
          <w:smallCaps w:val="0"/>
          <w:strike w:val="0"/>
          <w:u w:val="none"/>
        </w:rPr>
        <w:t xml:space="preserve"> </w:t>
      </w:r>
      <w:r>
        <w:rPr>
          <w:b w:val="0"/>
          <w:i w:val="0"/>
          <w:smallCaps w:val="0"/>
          <w:strike w:val="0"/>
          <w:sz w:val="16"/>
          <w:u w:val="none"/>
        </w:rPr>
        <w:t xml:space="preserve">[Pamela; Richard M. Sherman Distinguished Professor of Law, Co-Director of the Berkeley Center for Law &amp; Technology, and published widely in the areas of copyright, software protection and cyberlaw; 3/7/2023; "The Solicitor General's Mixed Record of Success in Supreme Court Copyright Cases"; University of California, Berkeley School of Law; </w:t>
      </w:r>
      <w:r>
        <w:rPr>
          <w:b w:val="0"/>
          <w:i w:val="0"/>
          <w:smallCaps w:val="0"/>
          <w:strike w:val="0"/>
          <w:sz w:val="16"/>
          <w:u w:val="none"/>
        </w:rPr>
        <w:t>https://papers.ssrn.com/sol3/papers.cfm?abstract_id=4381579 ;</w:t>
      </w:r>
      <w:r>
        <w:rPr>
          <w:b w:val="0"/>
          <w:i w:val="0"/>
          <w:smallCaps w:val="0"/>
          <w:strike w:val="0"/>
          <w:sz w:val="16"/>
          <w:u w:val="none"/>
        </w:rPr>
        <w:t xml:space="preserve">] </w:t>
      </w:r>
      <w:r>
        <w:rPr>
          <w:b w:val="0"/>
          <w:i w:val="0"/>
          <w:smallCaps w:val="0"/>
          <w:strike w:val="0"/>
          <w:sz w:val="16"/>
          <w:u w:val="none"/>
        </w:rPr>
        <w:t>s.low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 xml:space="preserve">As impressive as OSG’s overall rate of amicus success has been, the most recent empirical study of </w:t>
      </w:r>
      <w:r>
        <w:rPr>
          <w:b/>
          <w:i w:val="0"/>
          <w:smallCaps w:val="0"/>
          <w:strike w:val="0"/>
          <w:sz w:val="22"/>
          <w:u w:val="single"/>
        </w:rPr>
        <w:t>OSG’s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/>
          <w:i w:val="0"/>
          <w:smallCaps w:val="0"/>
          <w:strike w:val="0"/>
          <w:sz w:val="22"/>
          <w:u w:val="single"/>
        </w:rPr>
        <w:t>influence as amicus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in the Court’s </w:t>
      </w:r>
      <w:r>
        <w:rPr>
          <w:b/>
          <w:i w:val="0"/>
          <w:smallCaps w:val="0"/>
          <w:strike w:val="0"/>
          <w:sz w:val="22"/>
          <w:u w:val="single"/>
        </w:rPr>
        <w:t>patent cases reports a success rate of 92%.</w:t>
      </w:r>
      <w:r>
        <w:rPr>
          <w:b w:val="0"/>
          <w:i w:val="0"/>
          <w:smallCaps w:val="0"/>
          <w:strike w:val="0"/>
          <w:sz w:val="16"/>
          <w:u w:val="none"/>
        </w:rPr>
        <w:t xml:space="preserve">369 This is consistent with findings of an earlier study showing that </w:t>
      </w:r>
      <w:r>
        <w:rPr>
          <w:b/>
          <w:i w:val="0"/>
          <w:smallCaps w:val="0"/>
          <w:strike w:val="0"/>
          <w:sz w:val="22"/>
          <w:u w:val="single"/>
        </w:rPr>
        <w:t>over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a </w:t>
      </w:r>
      <w:r>
        <w:rPr>
          <w:b/>
          <w:i w:val="0"/>
          <w:smallCaps w:val="0"/>
          <w:strike w:val="0"/>
          <w:sz w:val="22"/>
          <w:u w:val="single"/>
        </w:rPr>
        <w:t>twenty-year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period, “</w:t>
      </w:r>
      <w:r>
        <w:rPr>
          <w:b/>
          <w:i w:val="0"/>
          <w:smallCaps w:val="0"/>
          <w:strike w:val="0"/>
          <w:sz w:val="22"/>
          <w:u w:val="single"/>
        </w:rPr>
        <w:t>every single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amicus </w:t>
      </w:r>
      <w:r>
        <w:rPr>
          <w:b/>
          <w:i w:val="0"/>
          <w:smallCaps w:val="0"/>
          <w:strike w:val="0"/>
          <w:sz w:val="22"/>
          <w:u w:val="single"/>
        </w:rPr>
        <w:t>brief authored by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/>
          <w:i w:val="0"/>
          <w:smallCaps w:val="0"/>
          <w:strike w:val="0"/>
          <w:sz w:val="22"/>
          <w:u w:val="single"/>
        </w:rPr>
        <w:t>the U</w:t>
      </w:r>
      <w:r>
        <w:rPr>
          <w:b w:val="0"/>
          <w:i w:val="0"/>
          <w:smallCaps w:val="0"/>
          <w:strike w:val="0"/>
          <w:sz w:val="16"/>
          <w:u w:val="none"/>
        </w:rPr>
        <w:t xml:space="preserve">nited </w:t>
      </w:r>
      <w:r>
        <w:rPr>
          <w:b/>
          <w:i w:val="0"/>
          <w:smallCaps w:val="0"/>
          <w:strike w:val="0"/>
          <w:sz w:val="22"/>
          <w:u w:val="single"/>
        </w:rPr>
        <w:t>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tates </w:t>
      </w:r>
      <w:r>
        <w:rPr>
          <w:b/>
          <w:i w:val="0"/>
          <w:smallCaps w:val="0"/>
          <w:strike w:val="0"/>
          <w:sz w:val="22"/>
          <w:u w:val="single"/>
        </w:rPr>
        <w:t>in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a Supreme Court </w:t>
      </w:r>
      <w:r>
        <w:rPr>
          <w:b/>
          <w:i w:val="0"/>
          <w:smallCaps w:val="0"/>
          <w:strike w:val="0"/>
          <w:sz w:val="22"/>
          <w:u w:val="single"/>
        </w:rPr>
        <w:t>patent case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</w:t>
      </w:r>
      <w:r>
        <w:rPr>
          <w:b/>
          <w:i w:val="0"/>
          <w:smallCaps w:val="0"/>
          <w:strike w:val="0"/>
          <w:sz w:val="22"/>
          <w:u w:val="single"/>
        </w:rPr>
        <w:t>except one predicted the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case </w:t>
      </w:r>
      <w:r>
        <w:rPr>
          <w:b/>
          <w:i w:val="0"/>
          <w:smallCaps w:val="0"/>
          <w:strike w:val="0"/>
          <w:sz w:val="22"/>
          <w:u w:val="single"/>
        </w:rPr>
        <w:t>outcome</w:t>
      </w:r>
      <w:r>
        <w:rPr>
          <w:b w:val="0"/>
          <w:i w:val="0"/>
          <w:smallCaps w:val="0"/>
          <w:strike w:val="0"/>
          <w:sz w:val="16"/>
          <w:u w:val="none"/>
        </w:rPr>
        <w:t>.”370 There was, moreover, an “</w:t>
      </w:r>
      <w:r>
        <w:rPr>
          <w:b/>
          <w:i w:val="0"/>
          <w:smallCaps w:val="0"/>
          <w:strike w:val="0"/>
          <w:sz w:val="22"/>
          <w:u w:val="single"/>
        </w:rPr>
        <w:t>impressive level</w:t>
      </w:r>
      <w:r>
        <w:rPr>
          <w:b/>
          <w:i w:val="0"/>
          <w:smallCaps w:val="0"/>
          <w:strike w:val="0"/>
          <w:sz w:val="22"/>
          <w:u w:val="single"/>
        </w:rPr>
        <w:t xml:space="preserve"> of </w:t>
      </w:r>
      <w:r>
        <w:rPr>
          <w:b/>
          <w:i w:val="0"/>
          <w:smallCaps w:val="0"/>
          <w:strike w:val="0"/>
          <w:sz w:val="22"/>
          <w:u w:val="single"/>
        </w:rPr>
        <w:t>agreement</w:t>
      </w:r>
      <w:r>
        <w:rPr>
          <w:b/>
          <w:i w:val="0"/>
          <w:smallCaps w:val="0"/>
          <w:strike w:val="0"/>
          <w:sz w:val="22"/>
          <w:u w:val="single"/>
        </w:rPr>
        <w:t>” and a “high level of accord</w:t>
      </w:r>
      <w:r>
        <w:rPr>
          <w:b w:val="0"/>
          <w:i w:val="0"/>
          <w:smallCaps w:val="0"/>
          <w:strike w:val="0"/>
          <w:sz w:val="16"/>
          <w:u w:val="none"/>
        </w:rPr>
        <w:t xml:space="preserve">” </w:t>
      </w:r>
      <w:r>
        <w:rPr>
          <w:b/>
          <w:i w:val="0"/>
          <w:smallCaps w:val="0"/>
          <w:strike w:val="0"/>
          <w:sz w:val="22"/>
          <w:u w:val="single"/>
        </w:rPr>
        <w:t>between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the </w:t>
      </w:r>
      <w:r>
        <w:rPr>
          <w:b/>
          <w:i w:val="0"/>
          <w:smallCaps w:val="0"/>
          <w:strike w:val="0"/>
          <w:sz w:val="22"/>
          <w:u w:val="single"/>
        </w:rPr>
        <w:t>Court and OSG in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“high-level </w:t>
      </w:r>
      <w:r>
        <w:rPr>
          <w:b/>
          <w:i w:val="0"/>
          <w:smallCaps w:val="0"/>
          <w:strike w:val="0"/>
          <w:sz w:val="22"/>
          <w:u w:val="single"/>
        </w:rPr>
        <w:t>patent matters</w:t>
      </w:r>
      <w:r>
        <w:rPr>
          <w:b w:val="0"/>
          <w:i w:val="0"/>
          <w:smallCaps w:val="0"/>
          <w:strike w:val="0"/>
          <w:sz w:val="16"/>
          <w:u w:val="none"/>
        </w:rPr>
        <w:t>.”371</w:t>
      </w:r>
    </w:p>
    <w:p>
      <w:pPr>
        <w:pStyle w:val="Caption"/>
      </w:pPr>
      <w:r>
        <w:t>Source: CVSG CP - Michigan 7 2024 BFHR · Michigan · 2024</w:t>
      </w:r>
    </w:p>
    <w:sectPr w:rsidR="00FC693F" w:rsidRPr="0006063C" w:rsidSect="00034616">
      <w:pgSz w:w="12240" w:h="15840"/>
      <w:pgMar w:top="720" w:right="840" w:bottom="720" w:left="8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