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Solicitor General would consult multiple agencies for copyright.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Samuelson ‘23</w:t>
      </w:r>
      <w:r>
        <w:rPr>
          <w:b w:val="0"/>
          <w:i w:val="0"/>
          <w:smallCaps w:val="0"/>
          <w:strike w:val="0"/>
          <w:u w:val="none"/>
        </w:rPr>
        <w:t xml:space="preserve"> [Pamela; March 7; Richard M. Sherman Distinguished Professor of Law &amp; Information at University of California, Berkeley School of Law; SSRN, “The Solicitor General's Mixed Record of Success in Supreme Court Copyright Cases,” </w:t>
      </w:r>
      <w:r>
        <w:rPr>
          <w:b w:val="0"/>
          <w:i w:val="0"/>
          <w:smallCaps w:val="0"/>
          <w:strike w:val="0"/>
          <w:u w:val="none"/>
        </w:rPr>
        <w:t>https://papers.ssrn.com/sol3/papers.cfm?abstract_id=4381579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take a more institutional view of the role, the </w:t>
      </w:r>
      <w:r>
        <w:rPr>
          <w:b/>
          <w:i w:val="0"/>
          <w:smallCaps w:val="0"/>
          <w:strike w:val="0"/>
          <w:sz w:val="22"/>
          <w:u w:val="single"/>
        </w:rPr>
        <w:t xml:space="preserve">Solicitor General </w:t>
      </w:r>
      <w:r>
        <w:rPr>
          <w:b w:val="0"/>
          <w:i w:val="0"/>
          <w:smallCaps w:val="0"/>
          <w:strike w:val="0"/>
          <w:sz w:val="16"/>
          <w:u w:val="none"/>
        </w:rPr>
        <w:t>should consider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consult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ing </w:t>
      </w:r>
      <w:r>
        <w:rPr>
          <w:b/>
          <w:i w:val="0"/>
          <w:smallCaps w:val="0"/>
          <w:strike w:val="0"/>
          <w:sz w:val="22"/>
          <w:u w:val="single"/>
        </w:rPr>
        <w:t>more broadly within the</w:t>
      </w:r>
      <w:r>
        <w:rPr>
          <w:b/>
          <w:i w:val="0"/>
          <w:smallCaps w:val="0"/>
          <w:strike w:val="0"/>
          <w:sz w:val="22"/>
          <w:u w:val="single"/>
        </w:rPr>
        <w:t xml:space="preserve"> government when </w:t>
      </w:r>
      <w:r>
        <w:rPr>
          <w:b/>
          <w:i w:val="0"/>
          <w:smallCaps w:val="0"/>
          <w:strike w:val="0"/>
          <w:sz w:val="22"/>
          <w:u w:val="single"/>
        </w:rPr>
        <w:t>copyright issues</w:t>
      </w:r>
      <w:r>
        <w:rPr>
          <w:b/>
          <w:i w:val="0"/>
          <w:smallCaps w:val="0"/>
          <w:strike w:val="0"/>
          <w:sz w:val="22"/>
          <w:u w:val="single"/>
        </w:rPr>
        <w:t xml:space="preserve"> are before the 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is, of course, understandable that </w:t>
      </w:r>
      <w:r>
        <w:rPr>
          <w:b/>
          <w:i w:val="0"/>
          <w:smallCaps w:val="0"/>
          <w:strike w:val="0"/>
          <w:sz w:val="22"/>
          <w:u w:val="single"/>
        </w:rPr>
        <w:t xml:space="preserve">OSG lawyers would listen closely to and </w:t>
      </w:r>
      <w:r>
        <w:rPr>
          <w:b/>
          <w:i w:val="0"/>
          <w:smallCaps w:val="0"/>
          <w:strike w:val="0"/>
          <w:sz w:val="22"/>
          <w:u w:val="single"/>
        </w:rPr>
        <w:t>heed the views</w:t>
      </w:r>
      <w:r>
        <w:rPr>
          <w:b/>
          <w:i w:val="0"/>
          <w:smallCaps w:val="0"/>
          <w:strike w:val="0"/>
          <w:sz w:val="22"/>
          <w:u w:val="single"/>
        </w:rPr>
        <w:t xml:space="preserve"> expressed by lawyers from the </w:t>
      </w:r>
      <w:r>
        <w:rPr>
          <w:b/>
          <w:i w:val="0"/>
          <w:smallCaps w:val="0"/>
          <w:strike w:val="0"/>
          <w:sz w:val="22"/>
          <w:u w:val="single"/>
        </w:rPr>
        <w:t>Copyright Office</w:t>
      </w:r>
      <w:r>
        <w:rPr>
          <w:b/>
          <w:i w:val="0"/>
          <w:smallCaps w:val="0"/>
          <w:strike w:val="0"/>
          <w:sz w:val="22"/>
          <w:u w:val="single"/>
        </w:rPr>
        <w:t xml:space="preserve"> with deep </w:t>
      </w:r>
      <w:r>
        <w:rPr>
          <w:b/>
          <w:i w:val="0"/>
          <w:smallCaps w:val="0"/>
          <w:strike w:val="0"/>
          <w:sz w:val="22"/>
          <w:u w:val="single"/>
        </w:rPr>
        <w:t>expertise</w:t>
      </w:r>
      <w:r>
        <w:rPr>
          <w:b/>
          <w:i w:val="0"/>
          <w:smallCaps w:val="0"/>
          <w:strike w:val="0"/>
          <w:sz w:val="22"/>
          <w:u w:val="single"/>
        </w:rPr>
        <w:t xml:space="preserve"> in copyright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perhaps OSG should consider giving less weight to those views, given that the </w:t>
      </w:r>
      <w:r>
        <w:rPr>
          <w:b/>
          <w:i w:val="0"/>
          <w:smallCaps w:val="0"/>
          <w:strike w:val="0"/>
          <w:sz w:val="22"/>
          <w:u w:val="single"/>
        </w:rPr>
        <w:t>Court 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 </w:t>
      </w:r>
      <w:r>
        <w:rPr>
          <w:b/>
          <w:i w:val="0"/>
          <w:smallCaps w:val="0"/>
          <w:strike w:val="0"/>
          <w:sz w:val="22"/>
          <w:u w:val="single"/>
        </w:rPr>
        <w:t xml:space="preserve">often rejected them in </w:t>
      </w:r>
      <w:r>
        <w:rPr>
          <w:b/>
          <w:i w:val="0"/>
          <w:smallCaps w:val="0"/>
          <w:strike w:val="0"/>
          <w:sz w:val="22"/>
          <w:u w:val="single"/>
        </w:rPr>
        <w:t>the substantive</w:t>
      </w:r>
      <w:r>
        <w:rPr>
          <w:b/>
          <w:i w:val="0"/>
          <w:smallCaps w:val="0"/>
          <w:strike w:val="0"/>
          <w:sz w:val="22"/>
          <w:u w:val="single"/>
        </w:rPr>
        <w:t xml:space="preserve"> interpretation cases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 xml:space="preserve">Depending on the </w:t>
      </w:r>
      <w:r>
        <w:rPr>
          <w:b/>
          <w:i w:val="0"/>
          <w:smallCaps w:val="0"/>
          <w:strike w:val="0"/>
          <w:sz w:val="22"/>
          <w:u w:val="single"/>
        </w:rPr>
        <w:t>kind of case</w:t>
      </w:r>
      <w:r>
        <w:rPr>
          <w:b/>
          <w:i w:val="0"/>
          <w:smallCaps w:val="0"/>
          <w:strike w:val="0"/>
          <w:sz w:val="22"/>
          <w:u w:val="single"/>
        </w:rPr>
        <w:t xml:space="preserve"> before the Court,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lawyers or </w:t>
      </w:r>
      <w:r>
        <w:rPr>
          <w:b/>
          <w:i w:val="0"/>
          <w:smallCaps w:val="0"/>
          <w:strike w:val="0"/>
          <w:sz w:val="22"/>
          <w:u w:val="single"/>
        </w:rPr>
        <w:t>officials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from the </w:t>
      </w:r>
      <w:r>
        <w:rPr>
          <w:b/>
          <w:i w:val="0"/>
          <w:smallCaps w:val="0"/>
          <w:strike w:val="0"/>
          <w:sz w:val="22"/>
          <w:u w:val="single"/>
        </w:rPr>
        <w:t>Federal Trade Commission</w:t>
      </w:r>
      <w:r>
        <w:rPr>
          <w:b w:val="0"/>
          <w:i w:val="0"/>
          <w:smallCaps w:val="0"/>
          <w:strike w:val="0"/>
          <w:sz w:val="16"/>
          <w:u w:val="none"/>
        </w:rPr>
        <w:t>, Federal Communications Commission</w:t>
      </w:r>
      <w:r>
        <w:rPr>
          <w:b/>
          <w:i w:val="0"/>
          <w:smallCaps w:val="0"/>
          <w:strike w:val="0"/>
          <w:sz w:val="22"/>
          <w:u w:val="single"/>
        </w:rPr>
        <w:t xml:space="preserve">, the </w:t>
      </w:r>
      <w:r>
        <w:rPr>
          <w:b/>
          <w:i w:val="0"/>
          <w:smallCaps w:val="0"/>
          <w:strike w:val="0"/>
          <w:sz w:val="22"/>
          <w:u w:val="single"/>
        </w:rPr>
        <w:t>Antitrust</w:t>
      </w:r>
      <w:r>
        <w:rPr>
          <w:b/>
          <w:i w:val="0"/>
          <w:smallCaps w:val="0"/>
          <w:strike w:val="0"/>
          <w:sz w:val="22"/>
          <w:u w:val="single"/>
        </w:rPr>
        <w:t xml:space="preserve"> Division, the Office of Science and Technology Policy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Council of Economic Advisors, the </w:t>
      </w:r>
      <w:r>
        <w:rPr>
          <w:b/>
          <w:i w:val="0"/>
          <w:smallCaps w:val="0"/>
          <w:strike w:val="0"/>
          <w:sz w:val="22"/>
          <w:u w:val="single"/>
        </w:rPr>
        <w:t xml:space="preserve">National Telecommunications and Information Administration, the </w:t>
      </w:r>
      <w:r>
        <w:rPr>
          <w:b/>
          <w:i w:val="0"/>
          <w:smallCaps w:val="0"/>
          <w:strike w:val="0"/>
          <w:sz w:val="22"/>
          <w:u w:val="single"/>
        </w:rPr>
        <w:t>National Institutes of Health</w:t>
      </w:r>
      <w:r>
        <w:rPr>
          <w:b/>
          <w:i w:val="0"/>
          <w:smallCaps w:val="0"/>
          <w:strike w:val="0"/>
          <w:sz w:val="22"/>
          <w:u w:val="single"/>
        </w:rPr>
        <w:t>, the Department of Education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Institute of Museum and Library Services, the Smithsonian museums, and the Librarian of Congress, </w:t>
      </w:r>
      <w:r>
        <w:rPr>
          <w:b/>
          <w:i w:val="0"/>
          <w:smallCaps w:val="0"/>
          <w:strike w:val="0"/>
          <w:sz w:val="22"/>
          <w:u w:val="single"/>
        </w:rPr>
        <w:t>among others</w:t>
      </w:r>
      <w:r>
        <w:rPr>
          <w:b/>
          <w:i w:val="0"/>
          <w:smallCaps w:val="0"/>
          <w:strike w:val="0"/>
          <w:sz w:val="22"/>
          <w:u w:val="single"/>
        </w:rPr>
        <w:t xml:space="preserve">, may have </w:t>
      </w:r>
      <w:r>
        <w:rPr>
          <w:b/>
          <w:i w:val="0"/>
          <w:smallCaps w:val="0"/>
          <w:strike w:val="0"/>
          <w:sz w:val="22"/>
          <w:u w:val="single"/>
        </w:rPr>
        <w:t>different perspectives</w:t>
      </w:r>
      <w:r>
        <w:rPr>
          <w:b/>
          <w:i w:val="0"/>
          <w:smallCaps w:val="0"/>
          <w:strike w:val="0"/>
          <w:sz w:val="22"/>
          <w:u w:val="single"/>
        </w:rPr>
        <w:t xml:space="preserve"> than the Copyright Office,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USPTO, USTR, and IPEC. While </w:t>
      </w:r>
      <w:r>
        <w:rPr>
          <w:b/>
          <w:i w:val="0"/>
          <w:smallCaps w:val="0"/>
          <w:strike w:val="0"/>
          <w:sz w:val="22"/>
          <w:u w:val="single"/>
        </w:rPr>
        <w:t xml:space="preserve">OSG </w:t>
      </w:r>
      <w:r>
        <w:rPr>
          <w:b/>
          <w:i w:val="0"/>
          <w:smallCaps w:val="0"/>
          <w:strike w:val="0"/>
          <w:sz w:val="22"/>
          <w:u w:val="single"/>
        </w:rPr>
        <w:t>routinely solicits</w:t>
      </w:r>
      <w:r>
        <w:rPr>
          <w:b/>
          <w:i w:val="0"/>
          <w:smallCaps w:val="0"/>
          <w:strike w:val="0"/>
          <w:sz w:val="22"/>
          <w:u w:val="single"/>
        </w:rPr>
        <w:t xml:space="preserve"> views from </w:t>
      </w:r>
      <w:r>
        <w:rPr>
          <w:b/>
          <w:i w:val="0"/>
          <w:smallCaps w:val="0"/>
          <w:strike w:val="0"/>
          <w:sz w:val="22"/>
          <w:u w:val="single"/>
        </w:rPr>
        <w:t>multiple agencies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perhaps </w:t>
      </w:r>
      <w:r>
        <w:rPr>
          <w:b/>
          <w:i w:val="0"/>
          <w:smallCaps w:val="0"/>
          <w:strike w:val="0"/>
          <w:sz w:val="22"/>
          <w:u w:val="single"/>
        </w:rPr>
        <w:t xml:space="preserve">it should make more concerted efforts to understand how the Court’s resolution of </w:t>
      </w:r>
      <w:r>
        <w:rPr>
          <w:b/>
          <w:i w:val="0"/>
          <w:smallCaps w:val="0"/>
          <w:strike w:val="0"/>
          <w:sz w:val="22"/>
          <w:u w:val="single"/>
        </w:rPr>
        <w:t>copyright disputes</w:t>
      </w:r>
      <w:r>
        <w:rPr>
          <w:b/>
          <w:i w:val="0"/>
          <w:smallCaps w:val="0"/>
          <w:strike w:val="0"/>
          <w:sz w:val="22"/>
          <w:u w:val="single"/>
        </w:rPr>
        <w:t xml:space="preserve"> will affect the </w:t>
      </w:r>
      <w:r>
        <w:rPr>
          <w:b/>
          <w:i w:val="0"/>
          <w:smallCaps w:val="0"/>
          <w:strike w:val="0"/>
          <w:sz w:val="22"/>
          <w:u w:val="single"/>
        </w:rPr>
        <w:t>broader publics</w:t>
      </w:r>
      <w:r>
        <w:rPr>
          <w:b/>
          <w:i w:val="0"/>
          <w:smallCaps w:val="0"/>
          <w:strike w:val="0"/>
          <w:sz w:val="22"/>
          <w:u w:val="single"/>
        </w:rPr>
        <w:t xml:space="preserve"> served by various agencies and not just the </w:t>
      </w:r>
      <w:r>
        <w:rPr>
          <w:b/>
          <w:i w:val="0"/>
          <w:smallCaps w:val="0"/>
          <w:strike w:val="0"/>
          <w:sz w:val="22"/>
          <w:u w:val="single"/>
        </w:rPr>
        <w:t>views of IP agencies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