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Adding</w:t>
      </w:r>
      <w:r>
        <w:rPr>
          <w:b/>
          <w:i w:val="0"/>
          <w:smallCaps w:val="0"/>
          <w:strike w:val="0"/>
          <w:sz w:val="26"/>
          <w:u w:val="none"/>
        </w:rPr>
        <w:t xml:space="preserve"> executive input </w:t>
      </w:r>
      <w:r>
        <w:rPr>
          <w:b/>
          <w:i w:val="0"/>
          <w:smallCaps w:val="0"/>
          <w:strike w:val="0"/>
          <w:sz w:val="26"/>
          <w:u w:val="single"/>
        </w:rPr>
        <w:t>increases</w:t>
      </w:r>
      <w:r>
        <w:rPr>
          <w:b/>
          <w:i w:val="0"/>
          <w:smallCaps w:val="0"/>
          <w:strike w:val="0"/>
          <w:sz w:val="26"/>
          <w:u w:val="none"/>
        </w:rPr>
        <w:t xml:space="preserve"> certainty. </w:t>
      </w:r>
    </w:p>
    <w:p>
      <w:pPr>
        <w:spacing w:after="80"/>
      </w:pPr>
      <w:r>
        <w:rPr>
          <w:b/>
          <w:i w:val="0"/>
          <w:smallCaps w:val="0"/>
          <w:strike w:val="0"/>
          <w:sz w:val="26"/>
          <w:u w:val="none"/>
        </w:rPr>
        <w:t xml:space="preserve">Rogol ’21 </w:t>
      </w:r>
      <w:r>
        <w:rPr>
          <w:b w:val="0"/>
          <w:i w:val="0"/>
          <w:smallCaps w:val="0"/>
          <w:strike w:val="0"/>
          <w:u w:val="none"/>
        </w:rPr>
        <w:t>[Natalie and Matthew Montgomery; Spring 2021; Professor of Political Science at Rhode Island College, PhD in Political Science from Georgia State University; Professor of Political Science at Texas Christian University, PhD in Political Science from Georgia State University, BA in Political Science from Georgia Gwinnett College; Journal of Law and Courts, “Seeking Information: When the Court Wants More,” vol. 9]</w:t>
      </w:r>
    </w:p>
    <w:p>
      <w:pPr>
        <w:spacing w:after="60"/>
      </w:pPr>
      <w:r>
        <w:rPr>
          <w:b w:val="0"/>
          <w:i w:val="0"/>
          <w:smallCaps w:val="0"/>
          <w:strike w:val="0"/>
          <w:sz w:val="16"/>
          <w:u w:val="none"/>
        </w:rPr>
        <w:t xml:space="preserve">Research discussed in the sections above highlights two important reasons for why we theorize the </w:t>
      </w:r>
      <w:r>
        <w:rPr>
          <w:b/>
          <w:i w:val="0"/>
          <w:smallCaps w:val="0"/>
          <w:strike w:val="0"/>
          <w:sz w:val="22"/>
          <w:u w:val="single"/>
        </w:rPr>
        <w:t xml:space="preserve">Court should CVSG to </w:t>
      </w:r>
      <w:r>
        <w:rPr>
          <w:b/>
          <w:i w:val="0"/>
          <w:smallCaps w:val="0"/>
          <w:strike w:val="0"/>
          <w:sz w:val="22"/>
          <w:u w:val="single"/>
        </w:rPr>
        <w:t>gain more info</w:t>
      </w:r>
      <w:r>
        <w:rPr>
          <w:b w:val="0"/>
          <w:i w:val="0"/>
          <w:smallCaps w:val="0"/>
          <w:strike w:val="0"/>
          <w:sz w:val="16"/>
          <w:u w:val="none"/>
        </w:rPr>
        <w:t xml:space="preserve">rmation </w:t>
      </w:r>
      <w:r>
        <w:rPr>
          <w:b/>
          <w:i w:val="0"/>
          <w:smallCaps w:val="0"/>
          <w:strike w:val="0"/>
          <w:sz w:val="22"/>
          <w:u w:val="single"/>
        </w:rPr>
        <w:t>about executive preferences</w:t>
      </w:r>
      <w:r>
        <w:rPr>
          <w:b w:val="0"/>
          <w:i w:val="0"/>
          <w:smallCaps w:val="0"/>
          <w:strike w:val="0"/>
          <w:sz w:val="16"/>
          <w:u w:val="none"/>
        </w:rPr>
        <w:t xml:space="preserve">. First, </w:t>
      </w:r>
      <w:r>
        <w:rPr>
          <w:b/>
          <w:i w:val="0"/>
          <w:smallCaps w:val="0"/>
          <w:strike w:val="0"/>
          <w:sz w:val="22"/>
          <w:u w:val="single"/>
        </w:rPr>
        <w:t>justices pursue preferences, but</w:t>
      </w:r>
      <w:r>
        <w:rPr>
          <w:b w:val="0"/>
          <w:i w:val="0"/>
          <w:smallCaps w:val="0"/>
          <w:strike w:val="0"/>
          <w:sz w:val="16"/>
          <w:u w:val="none"/>
        </w:rPr>
        <w:t xml:space="preserve"> they do so </w:t>
      </w:r>
      <w:r>
        <w:rPr>
          <w:b/>
          <w:i w:val="0"/>
          <w:smallCaps w:val="0"/>
          <w:strike w:val="0"/>
          <w:sz w:val="22"/>
          <w:u w:val="single"/>
        </w:rPr>
        <w:t xml:space="preserve">in a </w:t>
      </w:r>
      <w:r>
        <w:rPr>
          <w:b/>
          <w:i w:val="0"/>
          <w:smallCaps w:val="0"/>
          <w:strike w:val="0"/>
          <w:sz w:val="22"/>
          <w:u w:val="single"/>
        </w:rPr>
        <w:t>strategic</w:t>
      </w:r>
      <w:r>
        <w:rPr>
          <w:b/>
          <w:i w:val="0"/>
          <w:smallCaps w:val="0"/>
          <w:strike w:val="0"/>
          <w:sz w:val="22"/>
          <w:u w:val="single"/>
        </w:rPr>
        <w:t xml:space="preserve"> manner. A means to </w:t>
      </w:r>
      <w:r>
        <w:rPr>
          <w:b/>
          <w:i w:val="0"/>
          <w:smallCaps w:val="0"/>
          <w:strike w:val="0"/>
          <w:sz w:val="22"/>
          <w:u w:val="single"/>
        </w:rPr>
        <w:t>establish policy</w:t>
      </w:r>
      <w:r>
        <w:rPr>
          <w:b/>
          <w:i w:val="0"/>
          <w:smallCaps w:val="0"/>
          <w:strike w:val="0"/>
          <w:sz w:val="22"/>
          <w:u w:val="single"/>
        </w:rPr>
        <w:t xml:space="preserve"> attainments is to ensure the </w:t>
      </w:r>
      <w:r>
        <w:rPr>
          <w:b/>
          <w:i w:val="0"/>
          <w:smallCaps w:val="0"/>
          <w:strike w:val="0"/>
          <w:sz w:val="22"/>
          <w:u w:val="single"/>
        </w:rPr>
        <w:t>implementer</w:t>
      </w:r>
      <w:r>
        <w:rPr>
          <w:b w:val="0"/>
          <w:i w:val="0"/>
          <w:smallCaps w:val="0"/>
          <w:strike w:val="0"/>
          <w:sz w:val="16"/>
          <w:u w:val="none"/>
        </w:rPr>
        <w:t xml:space="preserve"> of policy, </w:t>
      </w:r>
      <w:r>
        <w:rPr>
          <w:b/>
          <w:i w:val="0"/>
          <w:smallCaps w:val="0"/>
          <w:strike w:val="0"/>
          <w:sz w:val="22"/>
          <w:u w:val="single"/>
        </w:rPr>
        <w:t xml:space="preserve">the president, will </w:t>
      </w:r>
      <w:r>
        <w:rPr>
          <w:b/>
          <w:i w:val="0"/>
          <w:smallCaps w:val="0"/>
          <w:strike w:val="0"/>
          <w:sz w:val="22"/>
          <w:u w:val="single"/>
        </w:rPr>
        <w:t>enforce</w:t>
      </w:r>
      <w:r>
        <w:rPr>
          <w:b w:val="0"/>
          <w:i w:val="0"/>
          <w:smallCaps w:val="0"/>
          <w:strike w:val="0"/>
          <w:sz w:val="16"/>
          <w:u w:val="none"/>
        </w:rPr>
        <w:t xml:space="preserve"> the Court’s decision. </w:t>
      </w:r>
      <w:r>
        <w:rPr>
          <w:b/>
          <w:i w:val="0"/>
          <w:smallCaps w:val="0"/>
          <w:strike w:val="0"/>
          <w:sz w:val="22"/>
          <w:u w:val="single"/>
        </w:rPr>
        <w:t>Understanding</w:t>
      </w:r>
      <w:r>
        <w:rPr>
          <w:b/>
          <w:i w:val="0"/>
          <w:smallCaps w:val="0"/>
          <w:strike w:val="0"/>
          <w:sz w:val="22"/>
          <w:u w:val="single"/>
        </w:rPr>
        <w:t xml:space="preserve"> where the president stands allows the Court to make </w:t>
      </w:r>
      <w:r>
        <w:rPr>
          <w:b/>
          <w:i w:val="0"/>
          <w:smallCaps w:val="0"/>
          <w:strike w:val="0"/>
          <w:sz w:val="22"/>
          <w:u w:val="single"/>
        </w:rPr>
        <w:t>more calculated decisions</w:t>
      </w:r>
      <w:r>
        <w:rPr>
          <w:b/>
          <w:i w:val="0"/>
          <w:smallCaps w:val="0"/>
          <w:strike w:val="0"/>
          <w:sz w:val="22"/>
          <w:u w:val="single"/>
        </w:rPr>
        <w:t xml:space="preserve"> about where in the policy space its ruling </w:t>
      </w:r>
      <w:r>
        <w:rPr>
          <w:b/>
          <w:i w:val="0"/>
          <w:smallCaps w:val="0"/>
          <w:strike w:val="0"/>
          <w:sz w:val="22"/>
          <w:u w:val="single"/>
        </w:rPr>
        <w:t xml:space="preserve">can </w:t>
      </w:r>
      <w:r>
        <w:rPr>
          <w:b/>
          <w:i w:val="0"/>
          <w:smallCaps w:val="0"/>
          <w:strike w:val="0"/>
          <w:sz w:val="22"/>
          <w:u w:val="single"/>
        </w:rPr>
        <w:t>successfully land</w:t>
      </w:r>
      <w:r>
        <w:rPr>
          <w:b/>
          <w:i w:val="0"/>
          <w:smallCaps w:val="0"/>
          <w:strike w:val="0"/>
          <w:sz w:val="22"/>
          <w:u w:val="single"/>
        </w:rPr>
        <w:t>. In</w:t>
      </w:r>
      <w:r>
        <w:rPr>
          <w:b w:val="0"/>
          <w:i w:val="0"/>
          <w:smallCaps w:val="0"/>
          <w:strike w:val="0"/>
          <w:sz w:val="16"/>
          <w:u w:val="none"/>
        </w:rPr>
        <w:t xml:space="preserve"> publicly </w:t>
      </w:r>
      <w:r>
        <w:rPr>
          <w:b/>
          <w:i w:val="0"/>
          <w:smallCaps w:val="0"/>
          <w:strike w:val="0"/>
          <w:sz w:val="22"/>
          <w:u w:val="single"/>
        </w:rPr>
        <w:t>charged</w:t>
      </w:r>
      <w:r>
        <w:rPr>
          <w:b/>
          <w:i w:val="0"/>
          <w:smallCaps w:val="0"/>
          <w:strike w:val="0"/>
          <w:sz w:val="22"/>
          <w:u w:val="single"/>
        </w:rPr>
        <w:t xml:space="preserve"> policy areas, the Court may</w:t>
      </w:r>
      <w:r>
        <w:rPr>
          <w:b w:val="0"/>
          <w:i w:val="0"/>
          <w:smallCaps w:val="0"/>
          <w:strike w:val="0"/>
          <w:sz w:val="16"/>
          <w:u w:val="none"/>
        </w:rPr>
        <w:t xml:space="preserve"> be </w:t>
      </w:r>
      <w:r>
        <w:rPr>
          <w:b/>
          <w:i w:val="0"/>
          <w:smallCaps w:val="0"/>
          <w:strike w:val="0"/>
          <w:sz w:val="22"/>
          <w:u w:val="single"/>
        </w:rPr>
        <w:t>seek</w:t>
      </w:r>
      <w:r>
        <w:rPr>
          <w:b w:val="0"/>
          <w:i w:val="0"/>
          <w:smallCaps w:val="0"/>
          <w:strike w:val="0"/>
          <w:sz w:val="16"/>
          <w:u w:val="none"/>
        </w:rPr>
        <w:t xml:space="preserve">ing </w:t>
      </w:r>
      <w:r>
        <w:rPr>
          <w:b/>
          <w:i w:val="0"/>
          <w:smallCaps w:val="0"/>
          <w:strike w:val="0"/>
          <w:sz w:val="22"/>
          <w:u w:val="single"/>
        </w:rPr>
        <w:t xml:space="preserve">a </w:t>
      </w:r>
      <w:r>
        <w:rPr>
          <w:b/>
          <w:i w:val="0"/>
          <w:smallCaps w:val="0"/>
          <w:strike w:val="0"/>
          <w:sz w:val="22"/>
          <w:u w:val="single"/>
        </w:rPr>
        <w:t>signal</w:t>
      </w:r>
      <w:r>
        <w:rPr>
          <w:b/>
          <w:i w:val="0"/>
          <w:smallCaps w:val="0"/>
          <w:strike w:val="0"/>
          <w:sz w:val="22"/>
          <w:u w:val="single"/>
        </w:rPr>
        <w:t xml:space="preserve"> of executive </w:t>
      </w:r>
      <w:r>
        <w:rPr>
          <w:b/>
          <w:i w:val="0"/>
          <w:smallCaps w:val="0"/>
          <w:strike w:val="0"/>
          <w:sz w:val="22"/>
          <w:u w:val="single"/>
        </w:rPr>
        <w:t>support</w:t>
      </w:r>
      <w:r>
        <w:rPr>
          <w:b w:val="0"/>
          <w:i w:val="0"/>
          <w:smallCaps w:val="0"/>
          <w:strike w:val="0"/>
          <w:sz w:val="16"/>
          <w:u w:val="none"/>
        </w:rPr>
        <w:t xml:space="preserve"> (such as in the Brown cases).2 Alternatively, the brief could cue the Court to outcomes that may bring potential sanctions. </w:t>
      </w:r>
      <w:r>
        <w:rPr>
          <w:b/>
          <w:i w:val="0"/>
          <w:smallCaps w:val="0"/>
          <w:strike w:val="0"/>
          <w:sz w:val="22"/>
          <w:u w:val="single"/>
        </w:rPr>
        <w:t>Because</w:t>
      </w:r>
      <w:r>
        <w:rPr>
          <w:b w:val="0"/>
          <w:i w:val="0"/>
          <w:smallCaps w:val="0"/>
          <w:strike w:val="0"/>
          <w:sz w:val="16"/>
          <w:u w:val="none"/>
        </w:rPr>
        <w:t xml:space="preserve"> the </w:t>
      </w:r>
      <w:r>
        <w:rPr>
          <w:b/>
          <w:i w:val="0"/>
          <w:smallCaps w:val="0"/>
          <w:strike w:val="0"/>
          <w:sz w:val="22"/>
          <w:u w:val="single"/>
        </w:rPr>
        <w:t>Court wishes to see</w:t>
      </w:r>
      <w:r>
        <w:rPr>
          <w:b w:val="0"/>
          <w:i w:val="0"/>
          <w:smallCaps w:val="0"/>
          <w:strike w:val="0"/>
          <w:sz w:val="16"/>
          <w:u w:val="none"/>
        </w:rPr>
        <w:t xml:space="preserve"> its </w:t>
      </w:r>
      <w:r>
        <w:rPr>
          <w:b/>
          <w:i w:val="0"/>
          <w:smallCaps w:val="0"/>
          <w:strike w:val="0"/>
          <w:sz w:val="22"/>
          <w:u w:val="single"/>
        </w:rPr>
        <w:t xml:space="preserve">policy </w:t>
      </w:r>
      <w:r>
        <w:rPr>
          <w:b/>
          <w:i w:val="0"/>
          <w:smallCaps w:val="0"/>
          <w:strike w:val="0"/>
          <w:sz w:val="22"/>
          <w:u w:val="single"/>
        </w:rPr>
        <w:t>implemented</w:t>
      </w:r>
      <w:r>
        <w:rPr>
          <w:b w:val="0"/>
          <w:i w:val="0"/>
          <w:smallCaps w:val="0"/>
          <w:strike w:val="0"/>
          <w:sz w:val="16"/>
          <w:u w:val="none"/>
        </w:rPr>
        <w:t>, and because the Court depends on institutional legitimacy, it wants to know of the possibility of threats to these goals.3</w:t>
      </w:r>
    </w:p>
    <w:p>
      <w:pPr>
        <w:spacing w:after="60"/>
      </w:pPr>
      <w:r>
        <w:rPr>
          <w:b w:val="0"/>
          <w:i w:val="0"/>
          <w:smallCaps w:val="0"/>
          <w:strike w:val="0"/>
          <w:sz w:val="16"/>
          <w:u w:val="none"/>
        </w:rPr>
        <w:t xml:space="preserve">Second, and more simply, </w:t>
      </w:r>
      <w:r>
        <w:rPr>
          <w:b/>
          <w:i w:val="0"/>
          <w:smallCaps w:val="0"/>
          <w:strike w:val="0"/>
          <w:sz w:val="22"/>
          <w:u w:val="single"/>
        </w:rPr>
        <w:t xml:space="preserve">the justices care about making </w:t>
      </w:r>
      <w:r>
        <w:rPr>
          <w:b/>
          <w:i w:val="0"/>
          <w:smallCaps w:val="0"/>
          <w:strike w:val="0"/>
          <w:sz w:val="22"/>
          <w:u w:val="single"/>
        </w:rPr>
        <w:t>good policy</w:t>
      </w:r>
      <w:r>
        <w:rPr>
          <w:b w:val="0"/>
          <w:i w:val="0"/>
          <w:smallCaps w:val="0"/>
          <w:strike w:val="0"/>
          <w:sz w:val="16"/>
          <w:u w:val="none"/>
        </w:rPr>
        <w:t xml:space="preserve">. Indeed, </w:t>
      </w:r>
      <w:r>
        <w:rPr>
          <w:b w:val="0"/>
          <w:i w:val="0"/>
          <w:smallCaps w:val="0"/>
          <w:strike w:val="0"/>
          <w:sz w:val="16"/>
          <w:u w:val="none"/>
        </w:rPr>
        <w:t>Hausegger</w:t>
      </w:r>
      <w:r>
        <w:rPr>
          <w:b w:val="0"/>
          <w:i w:val="0"/>
          <w:smallCaps w:val="0"/>
          <w:strike w:val="0"/>
          <w:sz w:val="16"/>
          <w:u w:val="none"/>
        </w:rPr>
        <w:t xml:space="preserve"> and Baum (1999, 182) demonstrate that the Court will ask Congress to review the legal sphere surrounding decisions </w:t>
      </w:r>
      <w:r>
        <w:rPr>
          <w:b w:val="0"/>
          <w:i w:val="0"/>
          <w:smallCaps w:val="0"/>
          <w:strike w:val="0"/>
          <w:sz w:val="16"/>
          <w:u w:val="none"/>
        </w:rPr>
        <w:t>in order to</w:t>
      </w:r>
      <w:r>
        <w:rPr>
          <w:b w:val="0"/>
          <w:i w:val="0"/>
          <w:smallCaps w:val="0"/>
          <w:strike w:val="0"/>
          <w:sz w:val="16"/>
          <w:u w:val="none"/>
        </w:rPr>
        <w:t xml:space="preserve"> create good policy “as they see it.” </w:t>
      </w:r>
      <w:r>
        <w:rPr>
          <w:b/>
          <w:i w:val="0"/>
          <w:smallCaps w:val="0"/>
          <w:strike w:val="0"/>
          <w:sz w:val="22"/>
          <w:u w:val="single"/>
        </w:rPr>
        <w:t xml:space="preserve">Since the </w:t>
      </w:r>
      <w:r>
        <w:rPr>
          <w:b/>
          <w:i w:val="0"/>
          <w:smallCaps w:val="0"/>
          <w:strike w:val="0"/>
          <w:sz w:val="22"/>
          <w:u w:val="single"/>
        </w:rPr>
        <w:t>exec</w:t>
      </w:r>
      <w:r>
        <w:rPr>
          <w:b/>
          <w:i w:val="0"/>
          <w:smallCaps w:val="0"/>
          <w:strike w:val="0"/>
          <w:sz w:val="22"/>
          <w:u w:val="single"/>
        </w:rPr>
        <w:t>utive</w:t>
      </w:r>
      <w:r>
        <w:rPr>
          <w:b w:val="0"/>
          <w:i w:val="0"/>
          <w:smallCaps w:val="0"/>
          <w:strike w:val="0"/>
          <w:sz w:val="16"/>
          <w:u w:val="none"/>
        </w:rPr>
        <w:t xml:space="preserve"> branch </w:t>
      </w:r>
      <w:r>
        <w:rPr>
          <w:b/>
          <w:i w:val="0"/>
          <w:smallCaps w:val="0"/>
          <w:strike w:val="0"/>
          <w:sz w:val="22"/>
          <w:u w:val="single"/>
        </w:rPr>
        <w:t xml:space="preserve">is responsible for </w:t>
      </w:r>
      <w:r>
        <w:rPr>
          <w:b/>
          <w:i w:val="0"/>
          <w:smallCaps w:val="0"/>
          <w:strike w:val="0"/>
          <w:sz w:val="22"/>
          <w:u w:val="single"/>
        </w:rPr>
        <w:t>implementation</w:t>
      </w:r>
      <w:r>
        <w:rPr>
          <w:b w:val="0"/>
          <w:i w:val="0"/>
          <w:smallCaps w:val="0"/>
          <w:strike w:val="0"/>
          <w:sz w:val="16"/>
          <w:u w:val="none"/>
        </w:rPr>
        <w:t xml:space="preserve"> of policy, </w:t>
      </w:r>
      <w:r>
        <w:rPr>
          <w:b/>
          <w:i w:val="0"/>
          <w:smallCaps w:val="0"/>
          <w:strike w:val="0"/>
          <w:sz w:val="22"/>
          <w:u w:val="single"/>
        </w:rPr>
        <w:t>the Court</w:t>
      </w:r>
      <w:r>
        <w:rPr>
          <w:b w:val="0"/>
          <w:i w:val="0"/>
          <w:smallCaps w:val="0"/>
          <w:strike w:val="0"/>
          <w:sz w:val="16"/>
          <w:u w:val="none"/>
        </w:rPr>
        <w:t xml:space="preserve"> may </w:t>
      </w:r>
      <w:r>
        <w:rPr>
          <w:b/>
          <w:i w:val="0"/>
          <w:smallCaps w:val="0"/>
          <w:strike w:val="0"/>
          <w:sz w:val="22"/>
          <w:u w:val="single"/>
        </w:rPr>
        <w:t xml:space="preserve">want to know about </w:t>
      </w:r>
      <w:r>
        <w:rPr>
          <w:b/>
          <w:i w:val="0"/>
          <w:smallCaps w:val="0"/>
          <w:strike w:val="0"/>
          <w:sz w:val="22"/>
          <w:u w:val="single"/>
        </w:rPr>
        <w:t>possible problems</w:t>
      </w:r>
      <w:r>
        <w:rPr>
          <w:b/>
          <w:i w:val="0"/>
          <w:smallCaps w:val="0"/>
          <w:strike w:val="0"/>
          <w:sz w:val="22"/>
          <w:u w:val="single"/>
        </w:rPr>
        <w:t xml:space="preserve"> of implementation. The</w:t>
      </w:r>
      <w:r>
        <w:rPr>
          <w:b w:val="0"/>
          <w:i w:val="0"/>
          <w:smallCaps w:val="0"/>
          <w:strike w:val="0"/>
          <w:sz w:val="16"/>
          <w:u w:val="none"/>
        </w:rPr>
        <w:t xml:space="preserve"> actors in the </w:t>
      </w:r>
      <w:r>
        <w:rPr>
          <w:b/>
          <w:i w:val="0"/>
          <w:smallCaps w:val="0"/>
          <w:strike w:val="0"/>
          <w:sz w:val="22"/>
          <w:u w:val="single"/>
        </w:rPr>
        <w:t>exec</w:t>
      </w:r>
      <w:r>
        <w:rPr>
          <w:b/>
          <w:i w:val="0"/>
          <w:smallCaps w:val="0"/>
          <w:strike w:val="0"/>
          <w:sz w:val="22"/>
          <w:u w:val="single"/>
        </w:rPr>
        <w:t>utive</w:t>
      </w:r>
      <w:r>
        <w:rPr>
          <w:b w:val="0"/>
          <w:i w:val="0"/>
          <w:smallCaps w:val="0"/>
          <w:strike w:val="0"/>
          <w:sz w:val="16"/>
          <w:u w:val="none"/>
        </w:rPr>
        <w:t xml:space="preserve"> branch </w:t>
      </w:r>
      <w:r>
        <w:rPr>
          <w:b/>
          <w:i w:val="0"/>
          <w:smallCaps w:val="0"/>
          <w:strike w:val="0"/>
          <w:sz w:val="22"/>
          <w:u w:val="single"/>
        </w:rPr>
        <w:t xml:space="preserve">have the </w:t>
      </w:r>
      <w:r>
        <w:rPr>
          <w:b/>
          <w:i w:val="0"/>
          <w:smallCaps w:val="0"/>
          <w:strike w:val="0"/>
          <w:sz w:val="22"/>
          <w:u w:val="single"/>
        </w:rPr>
        <w:t>(greater) requisite expertise</w:t>
      </w:r>
      <w:r>
        <w:rPr>
          <w:b/>
          <w:i w:val="0"/>
          <w:smallCaps w:val="0"/>
          <w:strike w:val="0"/>
          <w:sz w:val="22"/>
          <w:u w:val="single"/>
        </w:rPr>
        <w:t xml:space="preserve"> on implementation</w:t>
      </w:r>
      <w:r>
        <w:rPr>
          <w:b w:val="0"/>
          <w:i w:val="0"/>
          <w:smallCaps w:val="0"/>
          <w:strike w:val="0"/>
          <w:sz w:val="16"/>
          <w:u w:val="none"/>
        </w:rPr>
        <w:t xml:space="preserve">. Because we argue that the SOTU proxies the executive agenda, and this agenda often includes policy plans, an area receiving less attention may indicate one with less public information about the impacts of changing policy. Thus, in these areas, </w:t>
      </w:r>
      <w:r>
        <w:rPr>
          <w:b/>
          <w:i w:val="0"/>
          <w:smallCaps w:val="0"/>
          <w:strike w:val="0"/>
          <w:sz w:val="22"/>
          <w:u w:val="single"/>
        </w:rPr>
        <w:t xml:space="preserve">the Court may wish to CVSG to </w:t>
      </w:r>
      <w:r>
        <w:rPr>
          <w:b/>
          <w:i w:val="0"/>
          <w:smallCaps w:val="0"/>
          <w:strike w:val="0"/>
          <w:sz w:val="22"/>
          <w:u w:val="single"/>
        </w:rPr>
        <w:t>supplement</w:t>
      </w:r>
      <w:r>
        <w:rPr>
          <w:b/>
          <w:i w:val="0"/>
          <w:smallCaps w:val="0"/>
          <w:strike w:val="0"/>
          <w:sz w:val="22"/>
          <w:u w:val="single"/>
        </w:rPr>
        <w:t xml:space="preserve"> its </w:t>
      </w:r>
      <w:r>
        <w:rPr>
          <w:b/>
          <w:i w:val="0"/>
          <w:smallCaps w:val="0"/>
          <w:strike w:val="0"/>
          <w:sz w:val="22"/>
          <w:u w:val="single"/>
        </w:rPr>
        <w:t>info</w:t>
      </w:r>
      <w:r>
        <w:rPr>
          <w:b w:val="0"/>
          <w:i w:val="0"/>
          <w:smallCaps w:val="0"/>
          <w:strike w:val="0"/>
          <w:sz w:val="16"/>
          <w:u w:val="none"/>
        </w:rPr>
        <w:t>rmation.</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