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It’s </w:t>
      </w:r>
      <w:r>
        <w:rPr>
          <w:b/>
          <w:i w:val="0"/>
          <w:smallCaps w:val="0"/>
          <w:strike w:val="0"/>
          <w:sz w:val="26"/>
          <w:u w:val="single"/>
        </w:rPr>
        <w:t>quick</w:t>
      </w:r>
      <w:r>
        <w:rPr>
          <w:b/>
          <w:i w:val="0"/>
          <w:smallCaps w:val="0"/>
          <w:strike w:val="0"/>
          <w:sz w:val="26"/>
          <w:u w:val="none"/>
        </w:rPr>
        <w:t>.</w:t>
      </w:r>
    </w:p>
    <w:p>
      <w:pPr>
        <w:spacing w:after="80"/>
      </w:pPr>
      <w:r>
        <w:rPr>
          <w:b/>
          <w:i w:val="0"/>
          <w:smallCaps w:val="0"/>
          <w:strike w:val="0"/>
          <w:sz w:val="26"/>
          <w:u w:val="none"/>
        </w:rPr>
        <w:t>Pacelle</w:t>
      </w:r>
      <w:r>
        <w:rPr>
          <w:b/>
          <w:i w:val="0"/>
          <w:smallCaps w:val="0"/>
          <w:strike w:val="0"/>
          <w:sz w:val="26"/>
          <w:u w:val="none"/>
        </w:rPr>
        <w:t xml:space="preserve"> ’15 </w:t>
      </w:r>
      <w:r>
        <w:rPr>
          <w:b w:val="0"/>
          <w:i w:val="0"/>
          <w:smallCaps w:val="0"/>
          <w:strike w:val="0"/>
          <w:u w:val="none"/>
        </w:rPr>
        <w:t>[Richard; 2015; Professor and Department Head in Political Science at the University of Tennessee, PhD in Political Science from Ohio State University, BA from the University of Connecticut; The Supreme Court in a Separation of Powers System: The Nation's Balance Wheel, p. 202]</w:t>
      </w:r>
    </w:p>
    <w:p>
      <w:pPr>
        <w:spacing w:after="60"/>
      </w:pPr>
      <w:r>
        <w:rPr>
          <w:b w:val="0"/>
          <w:i w:val="0"/>
          <w:smallCaps w:val="0"/>
          <w:strike w:val="0"/>
          <w:sz w:val="16"/>
          <w:u w:val="none"/>
        </w:rPr>
        <w:t xml:space="preserve">The bottom line, as the literature and in Table 6.1.1 in Appendix 6 show, is that the SG has the greatest success among litigants and great influence over Supreme Court decision making. </w:t>
      </w:r>
      <w:r>
        <w:rPr>
          <w:b/>
          <w:i w:val="0"/>
          <w:smallCaps w:val="0"/>
          <w:strike w:val="0"/>
          <w:sz w:val="22"/>
          <w:u w:val="single"/>
        </w:rPr>
        <w:t xml:space="preserve">The SG and the Court provide an </w:t>
      </w:r>
      <w:r>
        <w:rPr>
          <w:b/>
          <w:i w:val="0"/>
          <w:smallCaps w:val="0"/>
          <w:strike w:val="0"/>
          <w:sz w:val="22"/>
          <w:u w:val="single"/>
        </w:rPr>
        <w:t>unmatched</w:t>
      </w:r>
      <w:r>
        <w:rPr>
          <w:b/>
          <w:i w:val="0"/>
          <w:smallCaps w:val="0"/>
          <w:strike w:val="0"/>
          <w:sz w:val="22"/>
          <w:u w:val="single"/>
        </w:rPr>
        <w:t xml:space="preserve"> example of </w:t>
      </w:r>
      <w:r>
        <w:rPr>
          <w:b/>
          <w:i w:val="0"/>
          <w:smallCaps w:val="0"/>
          <w:strike w:val="0"/>
          <w:sz w:val="22"/>
          <w:u w:val="single"/>
        </w:rPr>
        <w:t>synchronicity</w:t>
      </w:r>
      <w:r>
        <w:rPr>
          <w:b/>
          <w:i w:val="0"/>
          <w:smallCaps w:val="0"/>
          <w:strike w:val="0"/>
          <w:sz w:val="22"/>
          <w:u w:val="single"/>
        </w:rPr>
        <w:t xml:space="preserve"> over </w:t>
      </w:r>
      <w:r>
        <w:rPr>
          <w:b/>
          <w:i w:val="0"/>
          <w:smallCaps w:val="0"/>
          <w:strike w:val="0"/>
          <w:sz w:val="22"/>
          <w:u w:val="single"/>
        </w:rPr>
        <w:t>a period of time</w:t>
      </w:r>
      <w:r>
        <w:rPr>
          <w:b/>
          <w:i w:val="0"/>
          <w:smallCaps w:val="0"/>
          <w:strike w:val="0"/>
          <w:sz w:val="22"/>
          <w:u w:val="single"/>
        </w:rPr>
        <w:t xml:space="preserve">. The signals that pass back and forth between the Court and the OSG are relayed </w:t>
      </w:r>
      <w:r>
        <w:rPr>
          <w:b/>
          <w:i w:val="0"/>
          <w:smallCaps w:val="0"/>
          <w:strike w:val="0"/>
          <w:sz w:val="22"/>
          <w:u w:val="single"/>
        </w:rPr>
        <w:t>quickly</w:t>
      </w:r>
      <w:r>
        <w:rPr>
          <w:b/>
          <w:i w:val="0"/>
          <w:smallCaps w:val="0"/>
          <w:strike w:val="0"/>
          <w:sz w:val="24"/>
          <w:u w:val="single"/>
        </w:rPr>
        <w:t xml:space="preserve"> </w:t>
      </w:r>
      <w:r>
        <w:rPr>
          <w:b/>
          <w:i w:val="0"/>
          <w:smallCaps w:val="0"/>
          <w:strike w:val="0"/>
          <w:sz w:val="22"/>
          <w:u w:val="single"/>
        </w:rPr>
        <w:t xml:space="preserve">and apparently </w:t>
      </w:r>
      <w:r>
        <w:rPr>
          <w:b/>
          <w:i w:val="0"/>
          <w:smallCaps w:val="0"/>
          <w:strike w:val="0"/>
          <w:sz w:val="22"/>
          <w:u w:val="single"/>
        </w:rPr>
        <w:t>understood</w:t>
      </w:r>
      <w:r>
        <w:rPr>
          <w:b w:val="0"/>
          <w:i w:val="0"/>
          <w:smallCaps w:val="0"/>
          <w:strike w:val="0"/>
          <w:u w:val="none"/>
        </w:rPr>
        <w:t xml:space="preserve"> </w:t>
      </w:r>
      <w:r>
        <w:rPr>
          <w:b w:val="0"/>
          <w:i w:val="0"/>
          <w:smallCaps w:val="0"/>
          <w:strike w:val="0"/>
          <w:sz w:val="16"/>
          <w:u w:val="none"/>
        </w:rPr>
        <w:t xml:space="preserve">(Black and Owens 2012). </w:t>
      </w:r>
      <w:r>
        <w:rPr>
          <w:b/>
          <w:i w:val="0"/>
          <w:smallCaps w:val="0"/>
          <w:strike w:val="0"/>
          <w:sz w:val="22"/>
          <w:u w:val="single"/>
        </w:rPr>
        <w:t>The SG expanded its amicus activities in the wake of</w:t>
      </w:r>
      <w:r>
        <w:rPr>
          <w:b w:val="0"/>
          <w:i w:val="0"/>
          <w:smallCaps w:val="0"/>
          <w:strike w:val="0"/>
          <w:sz w:val="16"/>
          <w:u w:val="none"/>
        </w:rPr>
        <w:t xml:space="preserve"> the </w:t>
      </w:r>
      <w:r>
        <w:rPr>
          <w:b/>
          <w:i w:val="0"/>
          <w:smallCaps w:val="0"/>
          <w:strike w:val="0"/>
          <w:sz w:val="22"/>
          <w:u w:val="single"/>
        </w:rPr>
        <w:t>Brown</w:t>
      </w:r>
      <w:r>
        <w:rPr>
          <w:b w:val="0"/>
          <w:i w:val="0"/>
          <w:smallCaps w:val="0"/>
          <w:strike w:val="0"/>
          <w:sz w:val="16"/>
          <w:u w:val="none"/>
        </w:rPr>
        <w:t xml:space="preserve"> decision. In an information- poor or information- rich environment, the SG stands out as reliable and trustworthy. The Court needs information on the legal implications of a case. The SG can assist the justices in understanding the nature of the issues and available alternatives and in framing legal questions. Few clerks have mastered the issues before the Court. Indeed, many are only five years out of college. The solicitor general’s office has more resources and experience than the clerks. In particular, the deputies who specialize in particular issues frequently bring more expertise and knowledge to that area than most justices (</w:t>
      </w:r>
      <w:r>
        <w:rPr>
          <w:b w:val="0"/>
          <w:i w:val="0"/>
          <w:smallCaps w:val="0"/>
          <w:strike w:val="0"/>
          <w:sz w:val="16"/>
          <w:u w:val="none"/>
        </w:rPr>
        <w:t>Pacelle</w:t>
      </w:r>
      <w:r>
        <w:rPr>
          <w:b w:val="0"/>
          <w:i w:val="0"/>
          <w:smallCaps w:val="0"/>
          <w:strike w:val="0"/>
          <w:sz w:val="16"/>
          <w:u w:val="none"/>
        </w:rPr>
        <w:t xml:space="preserve"> 2003).</w:t>
      </w:r>
    </w:p>
    <w:p>
      <w:pPr>
        <w:pStyle w:val="Caption"/>
      </w:pPr>
      <w:r>
        <w:t>Source: CVSG CP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