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perm </w:t>
      </w:r>
      <w:r>
        <w:rPr>
          <w:b/>
          <w:i w:val="0"/>
          <w:smallCaps w:val="0"/>
          <w:strike w:val="0"/>
          <w:sz w:val="26"/>
          <w:u w:val="single"/>
        </w:rPr>
        <w:t>fails</w:t>
      </w:r>
      <w:r>
        <w:rPr>
          <w:b/>
          <w:i w:val="0"/>
          <w:smallCaps w:val="0"/>
          <w:strike w:val="0"/>
          <w:sz w:val="26"/>
          <w:u w:val="none"/>
        </w:rPr>
        <w:t xml:space="preserve">---OSG </w:t>
      </w:r>
      <w:r>
        <w:rPr>
          <w:b/>
          <w:i w:val="0"/>
          <w:smallCaps w:val="0"/>
          <w:strike w:val="0"/>
          <w:sz w:val="26"/>
          <w:u w:val="single"/>
        </w:rPr>
        <w:t>credibility</w:t>
      </w:r>
      <w:r>
        <w:rPr>
          <w:b/>
          <w:i w:val="0"/>
          <w:smallCaps w:val="0"/>
          <w:strike w:val="0"/>
          <w:sz w:val="26"/>
          <w:u w:val="none"/>
        </w:rPr>
        <w:t xml:space="preserve"> </w:t>
      </w:r>
      <w:r>
        <w:rPr>
          <w:b/>
          <w:i w:val="0"/>
          <w:smallCaps w:val="0"/>
          <w:strike w:val="0"/>
          <w:sz w:val="26"/>
          <w:u w:val="none"/>
        </w:rPr>
        <w:t>suffers</w:t>
      </w:r>
      <w:r>
        <w:rPr>
          <w:b/>
          <w:i w:val="0"/>
          <w:smallCaps w:val="0"/>
          <w:strike w:val="0"/>
          <w:sz w:val="26"/>
          <w:u w:val="none"/>
        </w:rPr>
        <w:t xml:space="preserve"> from passing the plan </w:t>
      </w:r>
      <w:r>
        <w:rPr>
          <w:b/>
          <w:i w:val="0"/>
          <w:smallCaps w:val="0"/>
          <w:strike w:val="0"/>
          <w:sz w:val="26"/>
          <w:u w:val="single"/>
        </w:rPr>
        <w:t>without prior approval</w:t>
      </w:r>
      <w:r>
        <w:rPr>
          <w:b/>
          <w:i w:val="0"/>
          <w:smallCaps w:val="0"/>
          <w:strike w:val="0"/>
          <w:sz w:val="26"/>
          <w:u w:val="none"/>
        </w:rPr>
        <w:t xml:space="preserve">. </w:t>
      </w:r>
    </w:p>
    <w:p>
      <w:pPr>
        <w:spacing w:after="80"/>
      </w:pPr>
      <w:r>
        <w:rPr>
          <w:b/>
          <w:i w:val="0"/>
          <w:smallCaps w:val="0"/>
          <w:strike w:val="0"/>
          <w:sz w:val="26"/>
          <w:u w:val="none"/>
        </w:rPr>
        <w:t>Dreeben ‘21</w:t>
      </w:r>
      <w:r>
        <w:rPr>
          <w:b w:val="0"/>
          <w:i w:val="0"/>
          <w:smallCaps w:val="0"/>
          <w:strike w:val="0"/>
          <w:u w:val="none"/>
        </w:rPr>
        <w:t xml:space="preserve"> [Michael R; January 15; received his J.D. degree from Duke University, previously served as Deputy Solicitor General, Distinguished Visitor from Government and previous adjunct professor at Georgetown University Law Center, Lecturer on Law at Harvard Law school; Yale Law Journal Forum, “Stare Decisis in the Office of the Solicitor General,” https://www.yalelawjournal.org/pdf/DreebenEssay_kdn1z8ge.pdf] </w:t>
      </w:r>
      <w:r>
        <w:rPr>
          <w:b w:val="0"/>
          <w:i w:val="0"/>
          <w:smallCaps w:val="0"/>
          <w:strike w:val="0"/>
          <w:u w:val="none"/>
        </w:rPr>
        <w:t>dedeepya</w:t>
      </w:r>
    </w:p>
    <w:p>
      <w:pPr>
        <w:spacing w:after="60"/>
      </w:pPr>
      <w:r>
        <w:rPr>
          <w:b w:val="0"/>
          <w:i w:val="0"/>
          <w:smallCaps w:val="0"/>
          <w:strike w:val="0"/>
          <w:sz w:val="16"/>
          <w:u w:val="none"/>
        </w:rPr>
        <w:t xml:space="preserve">I. </w:t>
      </w:r>
      <w:r>
        <w:rPr>
          <w:b w:val="0"/>
          <w:i w:val="0"/>
          <w:smallCaps w:val="0"/>
          <w:strike w:val="0"/>
          <w:sz w:val="16"/>
          <w:u w:val="none"/>
        </w:rPr>
        <w:t>Positional Consistency in Solicitor General Litigating Positions</w:t>
      </w:r>
    </w:p>
    <w:p>
      <w:pPr>
        <w:spacing w:after="60"/>
      </w:pPr>
      <w:r>
        <w:rPr>
          <w:b/>
          <w:i w:val="0"/>
          <w:smallCaps w:val="0"/>
          <w:strike w:val="0"/>
          <w:sz w:val="22"/>
          <w:u w:val="single"/>
        </w:rPr>
        <w:t xml:space="preserve">Judicial </w:t>
      </w:r>
      <w:r>
        <w:rPr>
          <w:b/>
          <w:i w:val="0"/>
          <w:smallCaps w:val="0"/>
          <w:strike w:val="0"/>
          <w:sz w:val="22"/>
          <w:u w:val="single"/>
        </w:rPr>
        <w:t>stare decisis</w:t>
      </w:r>
      <w:r>
        <w:rPr>
          <w:b/>
          <w:i w:val="0"/>
          <w:smallCaps w:val="0"/>
          <w:strike w:val="0"/>
          <w:sz w:val="22"/>
          <w:u w:val="single"/>
        </w:rPr>
        <w:t xml:space="preserve"> is in a </w:t>
      </w:r>
      <w:r>
        <w:rPr>
          <w:b/>
          <w:i w:val="0"/>
          <w:smallCaps w:val="0"/>
          <w:strike w:val="0"/>
          <w:sz w:val="22"/>
          <w:u w:val="single"/>
        </w:rPr>
        <w:t>state of flux</w:t>
      </w:r>
      <w:r>
        <w:rPr>
          <w:b/>
          <w:i w:val="0"/>
          <w:smallCaps w:val="0"/>
          <w:strike w:val="0"/>
          <w:sz w:val="22"/>
          <w:u w:val="single"/>
        </w:rPr>
        <w:t xml:space="preserve"> in the Supreme Court</w:t>
      </w:r>
      <w:r>
        <w:rPr>
          <w:b w:val="0"/>
          <w:i w:val="0"/>
          <w:smallCaps w:val="0"/>
          <w:strike w:val="0"/>
          <w:sz w:val="16"/>
          <w:u w:val="none"/>
        </w:rPr>
        <w:t xml:space="preserve">. The </w:t>
      </w:r>
      <w:r>
        <w:rPr>
          <w:b/>
          <w:i w:val="0"/>
          <w:smallCaps w:val="0"/>
          <w:strike w:val="0"/>
          <w:sz w:val="22"/>
          <w:u w:val="single"/>
        </w:rPr>
        <w:t>doctrine</w:t>
      </w:r>
      <w:r>
        <w:rPr>
          <w:b w:val="0"/>
          <w:i w:val="0"/>
          <w:smallCaps w:val="0"/>
          <w:strike w:val="0"/>
          <w:sz w:val="16"/>
          <w:u w:val="none"/>
        </w:rPr>
        <w:t xml:space="preserve">, which </w:t>
      </w:r>
      <w:r>
        <w:rPr>
          <w:b/>
          <w:i w:val="0"/>
          <w:smallCaps w:val="0"/>
          <w:strike w:val="0"/>
          <w:sz w:val="22"/>
          <w:u w:val="single"/>
        </w:rPr>
        <w:t>states that the Court will stand by its precedents absent special circumstances, is anything but stable</w:t>
      </w:r>
      <w:r>
        <w:rPr>
          <w:b w:val="0"/>
          <w:i w:val="0"/>
          <w:smallCaps w:val="0"/>
          <w:strike w:val="0"/>
          <w:sz w:val="16"/>
          <w:u w:val="none"/>
        </w:rPr>
        <w:t xml:space="preserve">. To the contrary, the Justices have fragmented in their understanding of it. Justice Kagan has emphasized its centrality to the Court's role in case after case. 10Justice Kavanaugh has attempted to synthesize its basic elements into a new tripartite framework. 11Justice Gorsuch has found that it did not apply when a prior decision broke from earlier law and rested on the aberrant views of a single Justice. 12The Chief Justice has prominently embraced it, but simultaneously endorsed an escape hatch for precedent that itself departed from precedent. 13And Justice Thomas has virtually declared war on the doctrine, saying it should yield whenever the Court is sure that a prior decision is wrong. </w:t>
      </w:r>
      <w:r>
        <w:rPr>
          <w:b/>
          <w:i w:val="0"/>
          <w:smallCaps w:val="0"/>
          <w:strike w:val="0"/>
          <w:sz w:val="22"/>
          <w:u w:val="single"/>
        </w:rPr>
        <w:t xml:space="preserve">14For a doctrine that aims to </w:t>
      </w:r>
      <w:r>
        <w:rPr>
          <w:b/>
          <w:i w:val="0"/>
          <w:smallCaps w:val="0"/>
          <w:strike w:val="0"/>
          <w:sz w:val="22"/>
          <w:u w:val="single"/>
        </w:rPr>
        <w:t>promote stability</w:t>
      </w:r>
      <w:r>
        <w:rPr>
          <w:b w:val="0"/>
          <w:i w:val="0"/>
          <w:smallCaps w:val="0"/>
          <w:strike w:val="0"/>
          <w:sz w:val="16"/>
          <w:u w:val="none"/>
        </w:rPr>
        <w:t xml:space="preserve">, predictability, </w:t>
      </w:r>
      <w:r>
        <w:rPr>
          <w:b/>
          <w:i w:val="0"/>
          <w:smallCaps w:val="0"/>
          <w:strike w:val="0"/>
          <w:sz w:val="22"/>
          <w:u w:val="single"/>
        </w:rPr>
        <w:t xml:space="preserve">and societal confidence "that </w:t>
      </w:r>
      <w:r>
        <w:rPr>
          <w:b/>
          <w:i w:val="0"/>
          <w:smallCaps w:val="0"/>
          <w:strike w:val="0"/>
          <w:sz w:val="22"/>
          <w:u w:val="single"/>
        </w:rPr>
        <w:t>bedrock principles</w:t>
      </w:r>
      <w:r>
        <w:rPr>
          <w:b/>
          <w:i w:val="0"/>
          <w:smallCaps w:val="0"/>
          <w:strike w:val="0"/>
          <w:sz w:val="22"/>
          <w:u w:val="single"/>
        </w:rPr>
        <w:t xml:space="preserve"> are founded in the law rather than in the proclivities of individuals</w:t>
      </w:r>
      <w:r>
        <w:rPr>
          <w:b w:val="0"/>
          <w:i w:val="0"/>
          <w:smallCaps w:val="0"/>
          <w:strike w:val="0"/>
          <w:sz w:val="16"/>
          <w:u w:val="none"/>
        </w:rPr>
        <w:t xml:space="preserve">," 15the </w:t>
      </w:r>
      <w:r>
        <w:rPr>
          <w:b/>
          <w:i w:val="0"/>
          <w:smallCaps w:val="0"/>
          <w:strike w:val="0"/>
          <w:sz w:val="22"/>
          <w:u w:val="single"/>
        </w:rPr>
        <w:t xml:space="preserve">Court's </w:t>
      </w:r>
      <w:r>
        <w:rPr>
          <w:b/>
          <w:i w:val="0"/>
          <w:smallCaps w:val="0"/>
          <w:strike w:val="0"/>
          <w:sz w:val="22"/>
          <w:u w:val="single"/>
        </w:rPr>
        <w:t>inability</w:t>
      </w:r>
      <w:r>
        <w:rPr>
          <w:b/>
          <w:i w:val="0"/>
          <w:smallCaps w:val="0"/>
          <w:strike w:val="0"/>
          <w:sz w:val="22"/>
          <w:u w:val="single"/>
        </w:rPr>
        <w:t xml:space="preserve"> to agree on the basic operation and scope of </w:t>
      </w:r>
      <w:r>
        <w:rPr>
          <w:b/>
          <w:i w:val="0"/>
          <w:smallCaps w:val="0"/>
          <w:strike w:val="0"/>
          <w:sz w:val="22"/>
          <w:u w:val="single"/>
        </w:rPr>
        <w:t>stare decisis is striking</w:t>
      </w:r>
      <w:r>
        <w:rPr>
          <w:b/>
          <w:i w:val="0"/>
          <w:smallCaps w:val="0"/>
          <w:strike w:val="0"/>
          <w:sz w:val="22"/>
          <w:u w:val="single"/>
        </w:rPr>
        <w:t>.</w:t>
      </w:r>
    </w:p>
    <w:p>
      <w:pPr>
        <w:spacing w:after="60"/>
      </w:pPr>
      <w:r>
        <w:rPr>
          <w:b w:val="0"/>
          <w:i w:val="0"/>
          <w:smallCaps w:val="0"/>
          <w:strike w:val="0"/>
          <w:sz w:val="16"/>
          <w:u w:val="none"/>
        </w:rPr>
        <w:t xml:space="preserve">But the Court is not the only institution of government in which standing by precedent is a guiding principle. 16 While </w:t>
      </w:r>
      <w:r>
        <w:rPr>
          <w:b/>
          <w:i w:val="0"/>
          <w:smallCaps w:val="0"/>
          <w:strike w:val="0"/>
          <w:sz w:val="22"/>
          <w:u w:val="single"/>
        </w:rPr>
        <w:t>the doctrine of stare decisis</w:t>
      </w:r>
      <w:r>
        <w:rPr>
          <w:b w:val="0"/>
          <w:i w:val="0"/>
          <w:smallCaps w:val="0"/>
          <w:strike w:val="0"/>
          <w:sz w:val="16"/>
          <w:u w:val="none"/>
        </w:rPr>
        <w:t xml:space="preserve"> is purely a principle of judicial restraint, it </w:t>
      </w:r>
      <w:r>
        <w:rPr>
          <w:b/>
          <w:i w:val="0"/>
          <w:smallCaps w:val="0"/>
          <w:strike w:val="0"/>
          <w:sz w:val="22"/>
          <w:u w:val="single"/>
        </w:rPr>
        <w:t xml:space="preserve">exerts a </w:t>
      </w:r>
      <w:r>
        <w:rPr>
          <w:b/>
          <w:i w:val="0"/>
          <w:smallCaps w:val="0"/>
          <w:strike w:val="0"/>
          <w:sz w:val="22"/>
          <w:u w:val="single"/>
        </w:rPr>
        <w:t>direct influence</w:t>
      </w:r>
      <w:r>
        <w:rPr>
          <w:b/>
          <w:i w:val="0"/>
          <w:smallCaps w:val="0"/>
          <w:strike w:val="0"/>
          <w:sz w:val="22"/>
          <w:u w:val="single"/>
        </w:rPr>
        <w:t xml:space="preserve"> on </w:t>
      </w:r>
      <w:r>
        <w:rPr>
          <w:b/>
          <w:i w:val="0"/>
          <w:smallCaps w:val="0"/>
          <w:strike w:val="0"/>
          <w:sz w:val="22"/>
          <w:u w:val="single"/>
        </w:rPr>
        <w:t>OSG</w:t>
      </w:r>
      <w:r>
        <w:rPr>
          <w:b/>
          <w:i w:val="0"/>
          <w:smallCaps w:val="0"/>
          <w:strike w:val="0"/>
          <w:sz w:val="22"/>
          <w:u w:val="single"/>
        </w:rPr>
        <w:t xml:space="preserve">--the </w:t>
      </w:r>
      <w:r>
        <w:rPr>
          <w:b/>
          <w:i w:val="0"/>
          <w:smallCaps w:val="0"/>
          <w:strike w:val="0"/>
          <w:sz w:val="22"/>
          <w:u w:val="single"/>
        </w:rPr>
        <w:t>most frequent litigant</w:t>
      </w:r>
      <w:r>
        <w:rPr>
          <w:b/>
          <w:i w:val="0"/>
          <w:smallCaps w:val="0"/>
          <w:strike w:val="0"/>
          <w:sz w:val="22"/>
          <w:u w:val="single"/>
        </w:rPr>
        <w:t xml:space="preserve"> in the Supreme Court and an office that by tradition and design is highly attuned to the Court's</w:t>
      </w:r>
      <w:r>
        <w:rPr>
          <w:b w:val="0"/>
          <w:i w:val="0"/>
          <w:smallCaps w:val="0"/>
          <w:strike w:val="0"/>
          <w:sz w:val="16"/>
          <w:u w:val="none"/>
        </w:rPr>
        <w:t xml:space="preserve"> standards and </w:t>
      </w:r>
      <w:r>
        <w:rPr>
          <w:b/>
          <w:i w:val="0"/>
          <w:smallCaps w:val="0"/>
          <w:strike w:val="0"/>
          <w:sz w:val="22"/>
          <w:u w:val="single"/>
        </w:rPr>
        <w:t xml:space="preserve">practices. As the ultimate repeat litigant before the Court, OSG has an enormous </w:t>
      </w:r>
      <w:r>
        <w:rPr>
          <w:b/>
          <w:i w:val="0"/>
          <w:smallCaps w:val="0"/>
          <w:strike w:val="0"/>
          <w:sz w:val="22"/>
          <w:u w:val="single"/>
        </w:rPr>
        <w:t>interest in maintaining</w:t>
      </w:r>
      <w:r>
        <w:rPr>
          <w:b/>
          <w:i w:val="0"/>
          <w:smallCaps w:val="0"/>
          <w:strike w:val="0"/>
          <w:sz w:val="22"/>
          <w:u w:val="single"/>
        </w:rPr>
        <w:t xml:space="preserve"> its own </w:t>
      </w:r>
      <w:r>
        <w:rPr>
          <w:b/>
          <w:i w:val="0"/>
          <w:smallCaps w:val="0"/>
          <w:strike w:val="0"/>
          <w:sz w:val="22"/>
          <w:u w:val="single"/>
        </w:rPr>
        <w:t>credibility</w:t>
      </w:r>
      <w:r>
        <w:rPr>
          <w:b/>
          <w:i w:val="0"/>
          <w:smallCaps w:val="0"/>
          <w:strike w:val="0"/>
          <w:sz w:val="22"/>
          <w:u w:val="single"/>
        </w:rPr>
        <w:t xml:space="preserve"> in the Court's eyes. That credibility could be </w:t>
      </w:r>
      <w:r>
        <w:rPr>
          <w:b/>
          <w:i w:val="0"/>
          <w:smallCaps w:val="0"/>
          <w:strike w:val="0"/>
          <w:sz w:val="22"/>
          <w:u w:val="single"/>
        </w:rPr>
        <w:t>severely undermined</w:t>
      </w:r>
      <w:r>
        <w:rPr>
          <w:b/>
          <w:i w:val="0"/>
          <w:smallCaps w:val="0"/>
          <w:strike w:val="0"/>
          <w:sz w:val="22"/>
          <w:u w:val="single"/>
        </w:rPr>
        <w:t xml:space="preserve"> by asking the Court to </w:t>
      </w:r>
      <w:r>
        <w:rPr>
          <w:b/>
          <w:i w:val="0"/>
          <w:smallCaps w:val="0"/>
          <w:strike w:val="0"/>
          <w:sz w:val="22"/>
          <w:u w:val="single"/>
        </w:rPr>
        <w:t>alter its precedent</w:t>
      </w:r>
      <w:r>
        <w:rPr>
          <w:b/>
          <w:i w:val="0"/>
          <w:smallCaps w:val="0"/>
          <w:strike w:val="0"/>
          <w:sz w:val="22"/>
          <w:u w:val="single"/>
        </w:rPr>
        <w:t xml:space="preserve"> without meeting the Court's </w:t>
      </w:r>
      <w:r>
        <w:rPr>
          <w:b/>
          <w:i w:val="0"/>
          <w:smallCaps w:val="0"/>
          <w:strike w:val="0"/>
          <w:sz w:val="22"/>
          <w:u w:val="single"/>
        </w:rPr>
        <w:t>stare decisis standards.</w:t>
      </w:r>
      <w:r>
        <w:rPr>
          <w:b w:val="0"/>
          <w:i w:val="0"/>
          <w:smallCaps w:val="0"/>
          <w:strike w:val="0"/>
          <w:sz w:val="16"/>
          <w:u w:val="none"/>
        </w:rPr>
        <w:t xml:space="preserve"> And as representative of a client—the Government—that generally benefits from a stable legal framework, OSG has a compelling practical interest in reinforcing the value of precedent and the need for special justification to reverse it. Finally, </w:t>
      </w:r>
      <w:r>
        <w:rPr>
          <w:b/>
          <w:i w:val="0"/>
          <w:smallCaps w:val="0"/>
          <w:strike w:val="0"/>
          <w:sz w:val="22"/>
          <w:u w:val="single"/>
        </w:rPr>
        <w:t xml:space="preserve">as the government office that directly and </w:t>
      </w:r>
      <w:r>
        <w:rPr>
          <w:b/>
          <w:i w:val="0"/>
          <w:smallCaps w:val="0"/>
          <w:strike w:val="0"/>
          <w:sz w:val="22"/>
          <w:u w:val="single"/>
        </w:rPr>
        <w:t>regularly interacts</w:t>
      </w:r>
      <w:r>
        <w:rPr>
          <w:b/>
          <w:i w:val="0"/>
          <w:smallCaps w:val="0"/>
          <w:strike w:val="0"/>
          <w:sz w:val="22"/>
          <w:u w:val="single"/>
        </w:rPr>
        <w:t xml:space="preserve"> with the Justices</w:t>
      </w:r>
      <w:r>
        <w:rPr>
          <w:b w:val="0"/>
          <w:i w:val="0"/>
          <w:smallCaps w:val="0"/>
          <w:strike w:val="0"/>
          <w:sz w:val="16"/>
          <w:u w:val="none"/>
        </w:rPr>
        <w:t xml:space="preserve"> in face-to-face dialogue </w:t>
      </w:r>
      <w:r>
        <w:rPr>
          <w:b/>
          <w:i w:val="0"/>
          <w:smallCaps w:val="0"/>
          <w:strike w:val="0"/>
          <w:sz w:val="22"/>
          <w:u w:val="single"/>
        </w:rPr>
        <w:t>in oral argument—and</w:t>
      </w:r>
      <w:r>
        <w:rPr>
          <w:b w:val="0"/>
          <w:i w:val="0"/>
          <w:smallCaps w:val="0"/>
          <w:strike w:val="0"/>
          <w:sz w:val="16"/>
          <w:u w:val="none"/>
        </w:rPr>
        <w:t xml:space="preserve"> that often </w:t>
      </w:r>
      <w:r>
        <w:rPr>
          <w:b/>
          <w:i w:val="0"/>
          <w:smallCaps w:val="0"/>
          <w:strike w:val="0"/>
          <w:sz w:val="22"/>
          <w:u w:val="single"/>
        </w:rPr>
        <w:t xml:space="preserve">has the role of </w:t>
      </w:r>
      <w:r>
        <w:rPr>
          <w:b w:val="0"/>
          <w:i w:val="0"/>
          <w:smallCaps w:val="0"/>
          <w:strike w:val="0"/>
          <w:sz w:val="16"/>
          <w:u w:val="none"/>
        </w:rPr>
        <w:t xml:space="preserve">explaining and </w:t>
      </w:r>
      <w:r>
        <w:rPr>
          <w:b/>
          <w:i w:val="0"/>
          <w:smallCaps w:val="0"/>
          <w:strike w:val="0"/>
          <w:sz w:val="22"/>
          <w:u w:val="single"/>
        </w:rPr>
        <w:t>defending</w:t>
      </w:r>
      <w:r>
        <w:rPr>
          <w:b/>
          <w:i w:val="0"/>
          <w:smallCaps w:val="0"/>
          <w:strike w:val="0"/>
          <w:sz w:val="22"/>
          <w:u w:val="single"/>
        </w:rPr>
        <w:t xml:space="preserve"> unpopular Court decisions to skeptical and </w:t>
      </w:r>
      <w:r>
        <w:rPr>
          <w:b/>
          <w:i w:val="0"/>
          <w:smallCaps w:val="0"/>
          <w:strike w:val="0"/>
          <w:sz w:val="22"/>
          <w:u w:val="single"/>
        </w:rPr>
        <w:t>hostile governmental audiences</w:t>
      </w:r>
      <w:r>
        <w:rPr>
          <w:b/>
          <w:i w:val="0"/>
          <w:smallCaps w:val="0"/>
          <w:strike w:val="0"/>
          <w:sz w:val="22"/>
          <w:u w:val="single"/>
        </w:rPr>
        <w:t xml:space="preserve">--OSG has an almost </w:t>
      </w:r>
      <w:r>
        <w:rPr>
          <w:b/>
          <w:i w:val="0"/>
          <w:smallCaps w:val="0"/>
          <w:strike w:val="0"/>
          <w:sz w:val="22"/>
          <w:u w:val="single"/>
        </w:rPr>
        <w:t>personal stake</w:t>
      </w:r>
      <w:r>
        <w:rPr>
          <w:b/>
          <w:i w:val="0"/>
          <w:smallCaps w:val="0"/>
          <w:strike w:val="0"/>
          <w:sz w:val="22"/>
          <w:u w:val="single"/>
        </w:rPr>
        <w:t xml:space="preserve"> in standing by the Court's precedent and </w:t>
      </w:r>
      <w:r>
        <w:rPr>
          <w:b/>
          <w:i w:val="0"/>
          <w:smallCaps w:val="0"/>
          <w:strike w:val="0"/>
          <w:sz w:val="22"/>
          <w:u w:val="single"/>
        </w:rPr>
        <w:t>authority</w:t>
      </w:r>
      <w:r>
        <w:rPr>
          <w:b/>
          <w:i w:val="0"/>
          <w:smallCaps w:val="0"/>
          <w:strike w:val="0"/>
          <w:sz w:val="22"/>
          <w:u w:val="single"/>
        </w:rPr>
        <w:t>, as a sign of respect and even "</w:t>
      </w:r>
      <w:r>
        <w:rPr>
          <w:b/>
          <w:i w:val="0"/>
          <w:smallCaps w:val="0"/>
          <w:strike w:val="0"/>
          <w:sz w:val="22"/>
          <w:u w:val="single"/>
        </w:rPr>
        <w:t>loyalty to the Court</w:t>
      </w:r>
      <w:r>
        <w:rPr>
          <w:b/>
          <w:i w:val="0"/>
          <w:smallCaps w:val="0"/>
          <w:strike w:val="0"/>
          <w:sz w:val="22"/>
          <w:u w:val="single"/>
        </w:rPr>
        <w:t>." 17</w:t>
      </w:r>
    </w:p>
    <w:p>
      <w:pPr>
        <w:spacing w:after="60"/>
      </w:pPr>
      <w:r>
        <w:rPr>
          <w:b w:val="0"/>
          <w:i w:val="0"/>
          <w:smallCaps w:val="0"/>
          <w:strike w:val="0"/>
          <w:sz w:val="16"/>
          <w:u w:val="none"/>
        </w:rPr>
        <w:t xml:space="preserve">But </w:t>
      </w:r>
      <w:r>
        <w:rPr>
          <w:b/>
          <w:i w:val="0"/>
          <w:smallCaps w:val="0"/>
          <w:strike w:val="0"/>
          <w:sz w:val="22"/>
          <w:u w:val="single"/>
        </w:rPr>
        <w:t xml:space="preserve">what about </w:t>
      </w:r>
      <w:r>
        <w:rPr>
          <w:b/>
          <w:i w:val="0"/>
          <w:smallCaps w:val="0"/>
          <w:strike w:val="0"/>
          <w:sz w:val="22"/>
          <w:u w:val="single"/>
        </w:rPr>
        <w:t>stability</w:t>
      </w:r>
      <w:r>
        <w:rPr>
          <w:b/>
          <w:i w:val="0"/>
          <w:smallCaps w:val="0"/>
          <w:strike w:val="0"/>
          <w:sz w:val="22"/>
          <w:u w:val="single"/>
        </w:rPr>
        <w:t xml:space="preserve"> and consistency in </w:t>
      </w:r>
      <w:r>
        <w:rPr>
          <w:b/>
          <w:i w:val="0"/>
          <w:smallCaps w:val="0"/>
          <w:strike w:val="0"/>
          <w:sz w:val="22"/>
          <w:u w:val="single"/>
        </w:rPr>
        <w:t>OSG's own litigating positions</w:t>
      </w:r>
      <w:r>
        <w:rPr>
          <w:b/>
          <w:i w:val="0"/>
          <w:smallCaps w:val="0"/>
          <w:strike w:val="0"/>
          <w:sz w:val="22"/>
          <w:u w:val="single"/>
        </w:rPr>
        <w:t xml:space="preserve">? Law is </w:t>
      </w:r>
      <w:r>
        <w:rPr>
          <w:b/>
          <w:i w:val="0"/>
          <w:smallCaps w:val="0"/>
          <w:strike w:val="0"/>
          <w:sz w:val="22"/>
          <w:u w:val="single"/>
        </w:rPr>
        <w:t>not static</w:t>
      </w:r>
      <w:r>
        <w:rPr>
          <w:b/>
          <w:i w:val="0"/>
          <w:smallCaps w:val="0"/>
          <w:strike w:val="0"/>
          <w:sz w:val="22"/>
          <w:u w:val="single"/>
        </w:rPr>
        <w:t>--it is constantly buffeted by new</w:t>
      </w:r>
      <w:r>
        <w:rPr>
          <w:b w:val="0"/>
          <w:i w:val="0"/>
          <w:smallCaps w:val="0"/>
          <w:strike w:val="0"/>
          <w:sz w:val="16"/>
          <w:u w:val="none"/>
        </w:rPr>
        <w:t xml:space="preserve"> decisions, understandings, and </w:t>
      </w:r>
      <w:r>
        <w:rPr>
          <w:b/>
          <w:i w:val="0"/>
          <w:smallCaps w:val="0"/>
          <w:strike w:val="0"/>
          <w:sz w:val="22"/>
          <w:u w:val="single"/>
        </w:rPr>
        <w:t>interpretations</w:t>
      </w:r>
      <w:r>
        <w:rPr>
          <w:b/>
          <w:i w:val="0"/>
          <w:smallCaps w:val="0"/>
          <w:strike w:val="0"/>
          <w:sz w:val="22"/>
          <w:u w:val="single"/>
        </w:rPr>
        <w:t>.</w:t>
      </w:r>
      <w:r>
        <w:rPr>
          <w:b w:val="0"/>
          <w:i w:val="0"/>
          <w:smallCaps w:val="0"/>
          <w:strike w:val="0"/>
          <w:sz w:val="16"/>
          <w:u w:val="none"/>
        </w:rPr>
        <w:t xml:space="preserve"> Solicitors General change--certainly, with a change in administration and often in between--and the change in personnel may bring a change in jurisprudential commitments. And OSG may watch as a legal position it has approved is torn to shreds in the lower courts. OSG historically has shown a significant degree of openness to reversing a position that the Government took in the lower courts, even if OSG had previously approved the position. Lower-court litigation serves as a canary in the coal mine. If a position consistently loses in the courts of appeals, in my experience OSG will readily reconsider its approach when the issue reaches the Supreme Court. After all, the stakes are greater since the Court will issue a final, binding decision with nationwide application.</w:t>
      </w:r>
      <w:r>
        <w:rPr>
          <w:b w:val="0"/>
          <w:i w:val="0"/>
          <w:smallCaps w:val="0"/>
          <w:strike w:val="0"/>
          <w:sz w:val="16"/>
          <w:u w:val="none"/>
        </w:rPr>
        <w:t xml:space="preserve"> </w:t>
      </w:r>
      <w:r>
        <w:rPr>
          <w:b w:val="0"/>
          <w:i w:val="0"/>
          <w:smallCaps w:val="0"/>
          <w:strike w:val="0"/>
          <w:sz w:val="16"/>
          <w:u w:val="none"/>
        </w:rPr>
        <w:t>18</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