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Perm </w:t>
      </w:r>
      <w:r>
        <w:rPr>
          <w:b/>
          <w:i w:val="0"/>
          <w:smallCaps w:val="0"/>
          <w:strike w:val="0"/>
          <w:sz w:val="26"/>
          <w:u w:val="none"/>
        </w:rPr>
        <w:t>kills prior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consultation</w:t>
      </w:r>
      <w:r>
        <w:rPr>
          <w:b/>
          <w:i w:val="0"/>
          <w:smallCaps w:val="0"/>
          <w:strike w:val="0"/>
          <w:sz w:val="26"/>
          <w:u w:val="none"/>
        </w:rPr>
        <w:t xml:space="preserve"> which </w:t>
      </w:r>
      <w:r>
        <w:rPr>
          <w:b/>
          <w:i w:val="0"/>
          <w:smallCaps w:val="0"/>
          <w:strike w:val="0"/>
          <w:sz w:val="26"/>
          <w:u w:val="none"/>
        </w:rPr>
        <w:t>decks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credibility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Thompson &amp; </w:t>
      </w:r>
      <w:r>
        <w:rPr>
          <w:b/>
          <w:i w:val="0"/>
          <w:smallCaps w:val="0"/>
          <w:strike w:val="0"/>
          <w:sz w:val="26"/>
          <w:u w:val="none"/>
        </w:rPr>
        <w:t>Wachtell</w:t>
      </w:r>
      <w:r>
        <w:rPr>
          <w:b/>
          <w:i w:val="0"/>
          <w:smallCaps w:val="0"/>
          <w:strike w:val="0"/>
          <w:sz w:val="26"/>
          <w:u w:val="none"/>
        </w:rPr>
        <w:t xml:space="preserve"> ‘09 </w:t>
      </w:r>
      <w:r>
        <w:rPr>
          <w:b w:val="0"/>
          <w:i w:val="0"/>
          <w:smallCaps w:val="0"/>
          <w:strike w:val="0"/>
          <w:u w:val="none"/>
        </w:rPr>
        <w:t xml:space="preserve">[David and Melanie; </w:t>
      </w:r>
      <w:r>
        <w:rPr>
          <w:b w:val="0"/>
          <w:i w:val="0"/>
          <w:smallCaps w:val="0"/>
          <w:strike w:val="0"/>
          <w:u w:val="none"/>
        </w:rPr>
        <w:t xml:space="preserve">April 14; SSRN, “An Empirical Analysis of Supreme Court Certiorari Petition Procedures: </w:t>
      </w:r>
      <w:r>
        <w:rPr>
          <w:b w:val="0"/>
          <w:i w:val="0"/>
          <w:smallCaps w:val="0"/>
          <w:strike w:val="0"/>
          <w:u w:val="none"/>
        </w:rPr>
        <w:t>The Call for Response and The Call for the Views of the Solicitor General,”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https://papers.ssrn.com/sol3/papers.cfm?abstract_id=1377522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Given the delay caused by the long turnaround time at the Office of the Solicitor General, </w:t>
      </w:r>
      <w:r>
        <w:rPr>
          <w:b/>
          <w:i w:val="0"/>
          <w:smallCaps w:val="0"/>
          <w:strike w:val="0"/>
          <w:sz w:val="22"/>
          <w:u w:val="single"/>
        </w:rPr>
        <w:t>there is the question of whether a deadline should be imposed by the Court.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such an approach would provide greater predictability for parties and the Court, </w:t>
      </w:r>
      <w:r>
        <w:rPr>
          <w:b/>
          <w:i w:val="0"/>
          <w:smallCaps w:val="0"/>
          <w:strike w:val="0"/>
          <w:sz w:val="22"/>
          <w:u w:val="single"/>
        </w:rPr>
        <w:t>it is unlikely that the Court would take this step.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perhaps dispositive for this question,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SG</w:t>
      </w:r>
      <w:r>
        <w:rPr>
          <w:b/>
          <w:i w:val="0"/>
          <w:smallCaps w:val="0"/>
          <w:strike w:val="0"/>
          <w:sz w:val="22"/>
          <w:u w:val="single"/>
        </w:rPr>
        <w:t xml:space="preserve"> is not a party in these cases, but rather is </w:t>
      </w:r>
      <w:r>
        <w:rPr>
          <w:b/>
          <w:i w:val="0"/>
          <w:smallCaps w:val="0"/>
          <w:strike w:val="0"/>
          <w:sz w:val="22"/>
          <w:u w:val="single"/>
        </w:rPr>
        <w:t>offering a service</w:t>
      </w:r>
      <w:r>
        <w:rPr>
          <w:b/>
          <w:i w:val="0"/>
          <w:smallCaps w:val="0"/>
          <w:strike w:val="0"/>
          <w:sz w:val="22"/>
          <w:u w:val="single"/>
        </w:rPr>
        <w:t xml:space="preserve"> of the executive branch </w:t>
      </w:r>
      <w:r>
        <w:rPr>
          <w:b/>
          <w:i w:val="0"/>
          <w:smallCaps w:val="0"/>
          <w:strike w:val="0"/>
          <w:sz w:val="22"/>
          <w:u w:val="single"/>
        </w:rPr>
        <w:t>as a favor</w:t>
      </w:r>
      <w:r>
        <w:rPr>
          <w:b/>
          <w:i w:val="0"/>
          <w:smallCaps w:val="0"/>
          <w:strike w:val="0"/>
          <w:sz w:val="22"/>
          <w:u w:val="single"/>
        </w:rPr>
        <w:t xml:space="preserve"> to the Court.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Thus, </w:t>
      </w:r>
      <w:r>
        <w:rPr>
          <w:b/>
          <w:i w:val="0"/>
          <w:smallCaps w:val="0"/>
          <w:strike w:val="0"/>
          <w:sz w:val="22"/>
          <w:u w:val="single"/>
        </w:rPr>
        <w:t xml:space="preserve">it would be </w:t>
      </w:r>
      <w:r>
        <w:rPr>
          <w:b/>
          <w:i w:val="0"/>
          <w:smallCaps w:val="0"/>
          <w:strike w:val="0"/>
          <w:sz w:val="22"/>
          <w:u w:val="single"/>
        </w:rPr>
        <w:t>politically insensitive</w:t>
      </w:r>
      <w:r>
        <w:rPr>
          <w:b/>
          <w:i w:val="0"/>
          <w:smallCaps w:val="0"/>
          <w:strike w:val="0"/>
          <w:sz w:val="22"/>
          <w:u w:val="single"/>
        </w:rPr>
        <w:t xml:space="preserve"> for the Court to require </w:t>
      </w:r>
      <w:r>
        <w:rPr>
          <w:b/>
          <w:i w:val="0"/>
          <w:smallCaps w:val="0"/>
          <w:strike w:val="0"/>
          <w:sz w:val="22"/>
          <w:u w:val="single"/>
        </w:rPr>
        <w:t>the SG</w:t>
      </w:r>
      <w:r>
        <w:rPr>
          <w:b/>
          <w:i w:val="0"/>
          <w:smallCaps w:val="0"/>
          <w:strike w:val="0"/>
          <w:sz w:val="22"/>
          <w:u w:val="single"/>
        </w:rPr>
        <w:t xml:space="preserve"> to respond by a certain 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Second, </w:t>
      </w:r>
      <w:r>
        <w:rPr>
          <w:b/>
          <w:i w:val="0"/>
          <w:smallCaps w:val="0"/>
          <w:strike w:val="0"/>
          <w:sz w:val="22"/>
          <w:u w:val="single"/>
        </w:rPr>
        <w:t xml:space="preserve">any step by the Court to limit the amount of time available to the SG might be </w:t>
      </w:r>
      <w:r>
        <w:rPr>
          <w:b/>
          <w:i w:val="0"/>
          <w:smallCaps w:val="0"/>
          <w:strike w:val="0"/>
          <w:sz w:val="22"/>
          <w:u w:val="single"/>
        </w:rPr>
        <w:t>perceived as a criticism</w:t>
      </w:r>
      <w:r>
        <w:rPr>
          <w:b/>
          <w:i w:val="0"/>
          <w:smallCaps w:val="0"/>
          <w:strike w:val="0"/>
          <w:sz w:val="22"/>
          <w:u w:val="single"/>
        </w:rPr>
        <w:t xml:space="preserve"> of the SG by the Court, potentially complicating the </w:t>
      </w:r>
      <w:r>
        <w:rPr>
          <w:b/>
          <w:i w:val="0"/>
          <w:smallCaps w:val="0"/>
          <w:strike w:val="0"/>
          <w:sz w:val="22"/>
          <w:u w:val="single"/>
        </w:rPr>
        <w:t>relationship</w:t>
      </w:r>
      <w:r>
        <w:rPr>
          <w:b/>
          <w:i w:val="0"/>
          <w:smallCaps w:val="0"/>
          <w:strike w:val="0"/>
          <w:sz w:val="22"/>
          <w:u w:val="single"/>
        </w:rPr>
        <w:t xml:space="preserve"> between the </w:t>
      </w:r>
      <w:r>
        <w:rPr>
          <w:b/>
          <w:i w:val="0"/>
          <w:smallCaps w:val="0"/>
          <w:strike w:val="0"/>
          <w:sz w:val="22"/>
          <w:u w:val="single"/>
        </w:rPr>
        <w:t>two institutions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Recently, </w:t>
      </w:r>
      <w:r>
        <w:rPr>
          <w:b/>
          <w:i w:val="0"/>
          <w:smallCaps w:val="0"/>
          <w:strike w:val="0"/>
          <w:sz w:val="22"/>
          <w:u w:val="single"/>
        </w:rPr>
        <w:t xml:space="preserve">Solicitor General Paul Clement himself </w:t>
      </w:r>
      <w:r>
        <w:rPr>
          <w:b/>
          <w:i w:val="0"/>
          <w:smallCaps w:val="0"/>
          <w:strike w:val="0"/>
          <w:sz w:val="22"/>
          <w:u w:val="single"/>
        </w:rPr>
        <w:t>weighed in</w:t>
      </w:r>
      <w:r>
        <w:rPr>
          <w:b/>
          <w:i w:val="0"/>
          <w:smallCaps w:val="0"/>
          <w:strike w:val="0"/>
          <w:sz w:val="22"/>
          <w:u w:val="single"/>
        </w:rPr>
        <w:t xml:space="preserve"> on this issue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response to a party’s application to require an invitation brief to be filed within thirty days of the Court’s request.239 His response further illuminates the process taken by the SG following a CVSG and makes the case for an allowance of greater time for the Office to respond. As Clement writes: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By their nature, such </w:t>
      </w:r>
      <w:r>
        <w:rPr>
          <w:b/>
          <w:i w:val="0"/>
          <w:smallCaps w:val="0"/>
          <w:strike w:val="0"/>
          <w:sz w:val="22"/>
          <w:u w:val="single"/>
        </w:rPr>
        <w:t>invitations</w:t>
      </w:r>
      <w:r>
        <w:rPr>
          <w:b/>
          <w:i w:val="0"/>
          <w:smallCaps w:val="0"/>
          <w:strike w:val="0"/>
          <w:sz w:val="22"/>
          <w:u w:val="single"/>
        </w:rPr>
        <w:t xml:space="preserve"> are extended in cases that present </w:t>
      </w:r>
      <w:r>
        <w:rPr>
          <w:b/>
          <w:i w:val="0"/>
          <w:smallCaps w:val="0"/>
          <w:strike w:val="0"/>
          <w:sz w:val="22"/>
          <w:u w:val="single"/>
        </w:rPr>
        <w:t>difficult questions of law</w:t>
      </w:r>
      <w:r>
        <w:rPr>
          <w:b/>
          <w:i w:val="0"/>
          <w:smallCaps w:val="0"/>
          <w:strike w:val="0"/>
          <w:sz w:val="22"/>
          <w:u w:val="single"/>
        </w:rPr>
        <w:t xml:space="preserve"> in 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which the United States is not a party and, most often, has not participated prior to the time the invitation is extended. </w:t>
      </w:r>
      <w:r>
        <w:rPr>
          <w:b/>
          <w:i w:val="0"/>
          <w:smallCaps w:val="0"/>
          <w:strike w:val="0"/>
          <w:sz w:val="22"/>
          <w:u w:val="single"/>
        </w:rPr>
        <w:t xml:space="preserve">Because the government generally does not have a </w:t>
      </w:r>
      <w:r>
        <w:rPr>
          <w:b/>
          <w:i w:val="0"/>
          <w:smallCaps w:val="0"/>
          <w:strike w:val="0"/>
          <w:sz w:val="22"/>
          <w:u w:val="single"/>
        </w:rPr>
        <w:t>previously formulated position</w:t>
      </w:r>
      <w:r>
        <w:rPr>
          <w:b/>
          <w:i w:val="0"/>
          <w:smallCaps w:val="0"/>
          <w:strike w:val="0"/>
          <w:sz w:val="22"/>
          <w:u w:val="single"/>
        </w:rPr>
        <w:t xml:space="preserve"> on the question presented, doing so regularly involves </w:t>
      </w:r>
      <w:r>
        <w:rPr>
          <w:b/>
          <w:i w:val="0"/>
          <w:smallCaps w:val="0"/>
          <w:strike w:val="0"/>
          <w:sz w:val="22"/>
          <w:u w:val="single"/>
        </w:rPr>
        <w:t>considerable consultation</w:t>
      </w:r>
      <w:r>
        <w:rPr>
          <w:b/>
          <w:i w:val="0"/>
          <w:smallCaps w:val="0"/>
          <w:strike w:val="0"/>
          <w:sz w:val="22"/>
          <w:u w:val="single"/>
        </w:rPr>
        <w:t xml:space="preserve"> with those both inside and outside the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Representatives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this office routinely </w:t>
      </w:r>
      <w:r>
        <w:rPr>
          <w:b/>
          <w:i w:val="0"/>
          <w:smallCaps w:val="0"/>
          <w:strike w:val="0"/>
          <w:sz w:val="22"/>
          <w:u w:val="single"/>
        </w:rPr>
        <w:t xml:space="preserve">arrange </w:t>
      </w:r>
      <w:r>
        <w:rPr>
          <w:b/>
          <w:i w:val="0"/>
          <w:smallCaps w:val="0"/>
          <w:strike w:val="0"/>
          <w:sz w:val="22"/>
          <w:u w:val="single"/>
        </w:rPr>
        <w:t>meetings with counsel</w:t>
      </w:r>
      <w:r>
        <w:rPr>
          <w:b/>
          <w:i w:val="0"/>
          <w:smallCaps w:val="0"/>
          <w:strike w:val="0"/>
          <w:sz w:val="22"/>
          <w:u w:val="single"/>
        </w:rPr>
        <w:t xml:space="preserve"> for the parties to the case </w:t>
      </w:r>
      <w:r>
        <w:rPr>
          <w:b/>
          <w:i w:val="0"/>
          <w:smallCaps w:val="0"/>
          <w:strike w:val="0"/>
          <w:sz w:val="22"/>
          <w:u w:val="single"/>
        </w:rPr>
        <w:t>before the Court,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including in some instances follow-up meetings, </w:t>
      </w: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better understand the legal issues, litigation history, and record. </w:t>
      </w:r>
      <w:r>
        <w:rPr>
          <w:b/>
          <w:i w:val="0"/>
          <w:smallCaps w:val="0"/>
          <w:strike w:val="0"/>
          <w:sz w:val="22"/>
          <w:u w:val="single"/>
        </w:rPr>
        <w:t xml:space="preserve">We also engage in </w:t>
      </w:r>
      <w:r>
        <w:rPr>
          <w:b/>
          <w:i w:val="0"/>
          <w:smallCaps w:val="0"/>
          <w:strike w:val="0"/>
          <w:sz w:val="22"/>
          <w:u w:val="single"/>
        </w:rPr>
        <w:t>extensive consultation</w:t>
      </w:r>
      <w:r>
        <w:rPr>
          <w:b/>
          <w:i w:val="0"/>
          <w:smallCaps w:val="0"/>
          <w:strike w:val="0"/>
          <w:sz w:val="22"/>
          <w:u w:val="single"/>
        </w:rPr>
        <w:t xml:space="preserve"> with interested departments and agencies </w:t>
      </w:r>
      <w:r>
        <w:rPr>
          <w:b w:val="0"/>
          <w:i w:val="0"/>
          <w:smallCaps w:val="0"/>
          <w:strike w:val="0"/>
          <w:sz w:val="16"/>
          <w:u w:val="none"/>
        </w:rPr>
        <w:t>within the government to ensure that we fully understand the implications of the questions presented on the broad array of government programs and interests.240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