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perm </w:t>
      </w:r>
      <w:r>
        <w:rPr>
          <w:b/>
          <w:i w:val="0"/>
          <w:smallCaps w:val="0"/>
          <w:strike w:val="0"/>
          <w:sz w:val="26"/>
          <w:u w:val="single"/>
        </w:rPr>
        <w:t>eliminates</w:t>
      </w:r>
      <w:r>
        <w:rPr>
          <w:b/>
          <w:i w:val="0"/>
          <w:smallCaps w:val="0"/>
          <w:strike w:val="0"/>
          <w:sz w:val="26"/>
          <w:u w:val="none"/>
        </w:rPr>
        <w:t xml:space="preserve"> the CVSG---it’s </w:t>
      </w:r>
      <w:r>
        <w:rPr>
          <w:b/>
          <w:i w:val="0"/>
          <w:smallCaps w:val="0"/>
          <w:strike w:val="0"/>
          <w:sz w:val="26"/>
          <w:u w:val="single"/>
        </w:rPr>
        <w:t>only</w:t>
      </w:r>
      <w:r>
        <w:rPr>
          <w:b/>
          <w:i w:val="0"/>
          <w:smallCaps w:val="0"/>
          <w:strike w:val="0"/>
          <w:sz w:val="26"/>
          <w:u w:val="none"/>
        </w:rPr>
        <w:t xml:space="preserve"> possible for </w:t>
      </w:r>
      <w:r>
        <w:rPr>
          <w:b/>
          <w:i w:val="0"/>
          <w:smallCaps w:val="0"/>
          <w:strike w:val="0"/>
          <w:sz w:val="26"/>
          <w:u w:val="single"/>
        </w:rPr>
        <w:t>pending</w:t>
      </w:r>
      <w:r>
        <w:rPr>
          <w:b/>
          <w:i w:val="0"/>
          <w:smallCaps w:val="0"/>
          <w:strike w:val="0"/>
          <w:sz w:val="26"/>
          <w:u w:val="none"/>
        </w:rPr>
        <w:t xml:space="preserve"> cases.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Days ’96 </w:t>
      </w:r>
      <w:r>
        <w:rPr>
          <w:b w:val="0"/>
          <w:i w:val="0"/>
          <w:smallCaps w:val="0"/>
          <w:strike w:val="0"/>
          <w:u w:val="none"/>
        </w:rPr>
        <w:t>[Drew; October 1995; Solicitor General of the United States, LLB From Yale Law School, BA from Hamilton College; Southern Methodist University Law Review, “The Solicitor General and the American Legal Ideal,” vol. 49]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Third,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olicitor </w:t>
      </w:r>
      <w:r>
        <w:rPr>
          <w:b/>
          <w:i w:val="0"/>
          <w:smallCaps w:val="0"/>
          <w:strike w:val="0"/>
          <w:sz w:val="22"/>
          <w:u w:val="singl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eneral </w:t>
      </w:r>
      <w:r>
        <w:rPr>
          <w:b/>
          <w:i w:val="0"/>
          <w:smallCaps w:val="0"/>
          <w:strike w:val="0"/>
          <w:sz w:val="22"/>
          <w:u w:val="single"/>
        </w:rPr>
        <w:t xml:space="preserve">is often asked formally by the Supreme Court through a </w:t>
      </w:r>
      <w:r>
        <w:rPr>
          <w:b/>
          <w:i w:val="0"/>
          <w:smallCaps w:val="0"/>
          <w:strike w:val="0"/>
          <w:sz w:val="22"/>
          <w:u w:val="single"/>
        </w:rPr>
        <w:t>process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referred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relevant jargon </w:t>
      </w:r>
      <w:r>
        <w:rPr>
          <w:b/>
          <w:i w:val="0"/>
          <w:smallCaps w:val="0"/>
          <w:strike w:val="0"/>
          <w:sz w:val="22"/>
          <w:u w:val="single"/>
        </w:rPr>
        <w:t>as "CVSG"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(or "call for the views of the Solicitor General") </w:t>
      </w:r>
      <w:r>
        <w:rPr>
          <w:b/>
          <w:i w:val="0"/>
          <w:smallCaps w:val="0"/>
          <w:strike w:val="0"/>
          <w:sz w:val="22"/>
          <w:u w:val="single"/>
        </w:rPr>
        <w:t>to express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his </w:t>
      </w:r>
      <w:r>
        <w:rPr>
          <w:b/>
          <w:i w:val="0"/>
          <w:smallCaps w:val="0"/>
          <w:strike w:val="0"/>
          <w:sz w:val="22"/>
          <w:u w:val="single"/>
        </w:rPr>
        <w:t xml:space="preserve">views on </w:t>
      </w:r>
      <w:r>
        <w:rPr>
          <w:b/>
          <w:i w:val="0"/>
          <w:smallCaps w:val="0"/>
          <w:strike w:val="0"/>
          <w:sz w:val="22"/>
          <w:u w:val="single"/>
        </w:rPr>
        <w:t>whether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pending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petition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certiorari in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non-government </w:t>
      </w:r>
      <w:r>
        <w:rPr>
          <w:b/>
          <w:i w:val="0"/>
          <w:smallCaps w:val="0"/>
          <w:strike w:val="0"/>
          <w:sz w:val="22"/>
          <w:u w:val="single"/>
        </w:rPr>
        <w:t xml:space="preserve">case should be </w:t>
      </w:r>
      <w:r>
        <w:rPr>
          <w:b/>
          <w:i w:val="0"/>
          <w:smallCaps w:val="0"/>
          <w:strike w:val="0"/>
          <w:sz w:val="22"/>
          <w:u w:val="single"/>
        </w:rPr>
        <w:t>granted</w:t>
      </w:r>
      <w:r>
        <w:rPr>
          <w:b w:val="0"/>
          <w:i w:val="0"/>
          <w:smallCaps w:val="0"/>
          <w:strike w:val="0"/>
          <w:sz w:val="16"/>
          <w:u w:val="none"/>
        </w:rPr>
        <w:t>. In such instances, the Court is not seeking the advice of an advocate or a partisan, but rather of an officer of that court committed to providing his best judgment with respect to the matter at issue.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