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Solicitor general consultation changes the agenda-setting stage---</w:t>
      </w:r>
      <w:r>
        <w:rPr>
          <w:b w:val="0"/>
          <w:i w:val="0"/>
          <w:smallCaps w:val="0"/>
          <w:strike w:val="0"/>
          <w:sz w:val="26"/>
          <w:u w:val="none"/>
        </w:rPr>
        <w:t xml:space="preserve">screening, </w:t>
      </w:r>
      <w:r>
        <w:rPr>
          <w:b w:val="0"/>
          <w:i w:val="0"/>
          <w:smallCaps w:val="0"/>
          <w:strike w:val="0"/>
          <w:sz w:val="26"/>
          <w:u w:val="none"/>
        </w:rPr>
        <w:t>vetos</w:t>
      </w:r>
      <w:r>
        <w:rPr>
          <w:b w:val="0"/>
          <w:i w:val="0"/>
          <w:smallCaps w:val="0"/>
          <w:strike w:val="0"/>
          <w:sz w:val="26"/>
          <w:u w:val="none"/>
        </w:rPr>
        <w:t xml:space="preserve">, and negotiation proves.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Black &amp; Owens ‘10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[Ryan</w:t>
      </w:r>
      <w:r>
        <w:rPr>
          <w:b w:val="0"/>
          <w:i w:val="0"/>
          <w:smallCaps w:val="0"/>
          <w:strike w:val="0"/>
          <w:u w:val="none"/>
        </w:rPr>
        <w:t xml:space="preserve"> and</w:t>
      </w:r>
      <w:r>
        <w:rPr>
          <w:b w:val="0"/>
          <w:i w:val="0"/>
          <w:smallCaps w:val="0"/>
          <w:strike w:val="0"/>
          <w:u w:val="none"/>
        </w:rPr>
        <w:t xml:space="preserve"> Ryan; December 22; </w:t>
      </w:r>
      <w:r>
        <w:rPr>
          <w:b w:val="0"/>
          <w:i w:val="0"/>
          <w:smallCaps w:val="0"/>
          <w:strike w:val="0"/>
          <w:u w:val="none"/>
        </w:rPr>
        <w:t>Professor of Political Science at Michigan State University and a faculty affiliate with the MSU College of Law, Professor of Political Science and Affiliate Faculty in the Law School</w:t>
      </w:r>
      <w:r>
        <w:rPr>
          <w:b w:val="0"/>
          <w:i w:val="0"/>
          <w:smallCaps w:val="0"/>
          <w:strike w:val="0"/>
          <w:u w:val="none"/>
        </w:rPr>
        <w:t>; Sage Journals, “Solicitor General Influence and Agenda Setting on the U.S. Supreme Court,” vol 64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dedeepya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 xml:space="preserve">SG is </w:t>
      </w:r>
      <w:r>
        <w:rPr>
          <w:b/>
          <w:i w:val="0"/>
          <w:smallCaps w:val="0"/>
          <w:strike w:val="0"/>
          <w:sz w:val="22"/>
          <w:u w:val="single"/>
        </w:rPr>
        <w:t>highly successful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During the Rehnquist Court era, the </w:t>
      </w:r>
      <w:r>
        <w:rPr>
          <w:b/>
          <w:i w:val="0"/>
          <w:smallCaps w:val="0"/>
          <w:strike w:val="0"/>
          <w:sz w:val="22"/>
          <w:u w:val="single"/>
        </w:rPr>
        <w:t>SG won over 62 percent of all cases in which the United States was a direct party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over 66 percent of cases in which she participated as amicus curiae (Epstein, Segal, Spaeth, and Walker 2007). </w:t>
      </w:r>
      <w:r>
        <w:rPr>
          <w:b/>
          <w:i w:val="0"/>
          <w:smallCaps w:val="0"/>
          <w:strike w:val="0"/>
          <w:sz w:val="22"/>
          <w:u w:val="single"/>
        </w:rPr>
        <w:t>Numerous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additional </w:t>
      </w:r>
      <w:r>
        <w:rPr>
          <w:b/>
          <w:i w:val="0"/>
          <w:smallCaps w:val="0"/>
          <w:strike w:val="0"/>
          <w:sz w:val="22"/>
          <w:u w:val="single"/>
        </w:rPr>
        <w:t>studies provide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systematic </w:t>
      </w:r>
      <w:r>
        <w:rPr>
          <w:b/>
          <w:i w:val="0"/>
          <w:smallCaps w:val="0"/>
          <w:strike w:val="0"/>
          <w:sz w:val="22"/>
          <w:u w:val="single"/>
        </w:rPr>
        <w:t>confirmation</w:t>
      </w:r>
      <w:r>
        <w:rPr>
          <w:b/>
          <w:i w:val="0"/>
          <w:smallCaps w:val="0"/>
          <w:strike w:val="0"/>
          <w:sz w:val="22"/>
          <w:u w:val="single"/>
        </w:rPr>
        <w:t xml:space="preserve"> of the </w:t>
      </w:r>
      <w:r>
        <w:rPr>
          <w:b/>
          <w:i w:val="0"/>
          <w:smallCaps w:val="0"/>
          <w:strike w:val="0"/>
          <w:sz w:val="22"/>
          <w:u w:val="single"/>
        </w:rPr>
        <w:t>SG’s success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(e.g., Deen, Ignagni, and </w:t>
      </w:r>
      <w:r>
        <w:rPr>
          <w:b w:val="0"/>
          <w:i w:val="0"/>
          <w:smallCaps w:val="0"/>
          <w:strike w:val="0"/>
          <w:sz w:val="16"/>
          <w:u w:val="none"/>
        </w:rPr>
        <w:t>Meernik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2003; Segal 1990; Segal and Reedy 1988). </w:t>
      </w:r>
      <w:r>
        <w:rPr>
          <w:b/>
          <w:i w:val="0"/>
          <w:smallCaps w:val="0"/>
          <w:strike w:val="0"/>
          <w:sz w:val="22"/>
          <w:u w:val="single"/>
        </w:rPr>
        <w:t xml:space="preserve">Whether trying to </w:t>
      </w:r>
      <w:r>
        <w:rPr>
          <w:b/>
          <w:i w:val="0"/>
          <w:smallCaps w:val="0"/>
          <w:strike w:val="0"/>
          <w:sz w:val="22"/>
          <w:u w:val="single"/>
        </w:rPr>
        <w:t>persuade</w:t>
      </w:r>
      <w:r>
        <w:rPr>
          <w:b/>
          <w:i w:val="0"/>
          <w:smallCaps w:val="0"/>
          <w:strike w:val="0"/>
          <w:sz w:val="22"/>
          <w:u w:val="single"/>
        </w:rPr>
        <w:t xml:space="preserve"> the Court to hear (or not hear) a case at the </w:t>
      </w:r>
      <w:r>
        <w:rPr>
          <w:b/>
          <w:i w:val="0"/>
          <w:smallCaps w:val="0"/>
          <w:strike w:val="0"/>
          <w:sz w:val="22"/>
          <w:u w:val="single"/>
        </w:rPr>
        <w:t>agenda-setting stage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winning a case at the merits stage, the </w:t>
      </w:r>
      <w:r>
        <w:rPr>
          <w:b/>
          <w:i w:val="0"/>
          <w:smallCaps w:val="0"/>
          <w:strike w:val="0"/>
          <w:sz w:val="22"/>
          <w:u w:val="single"/>
        </w:rPr>
        <w:t xml:space="preserve">SG usually gets what </w:t>
      </w:r>
      <w:r>
        <w:rPr>
          <w:b/>
          <w:i w:val="0"/>
          <w:smallCaps w:val="0"/>
          <w:strike w:val="0"/>
          <w:sz w:val="22"/>
          <w:u w:val="single"/>
        </w:rPr>
        <w:t>she wants.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Still, </w:t>
      </w:r>
      <w:r>
        <w:rPr>
          <w:b/>
          <w:i w:val="0"/>
          <w:smallCaps w:val="0"/>
          <w:strike w:val="0"/>
          <w:sz w:val="22"/>
          <w:u w:val="single"/>
        </w:rPr>
        <w:t xml:space="preserve">scholars present various assorted theories on why she so </w:t>
      </w:r>
      <w:r>
        <w:rPr>
          <w:b/>
          <w:i w:val="0"/>
          <w:smallCaps w:val="0"/>
          <w:strike w:val="0"/>
          <w:sz w:val="22"/>
          <w:u w:val="single"/>
        </w:rPr>
        <w:t>commonly succeeds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longest-standing view argued that </w:t>
      </w:r>
      <w:r>
        <w:rPr>
          <w:b/>
          <w:i w:val="0"/>
          <w:smallCaps w:val="0"/>
          <w:strike w:val="0"/>
          <w:sz w:val="22"/>
          <w:u w:val="single"/>
        </w:rPr>
        <w:t xml:space="preserve">much like a “Tenth Justice,” the SG serves as an </w:t>
      </w:r>
      <w:r>
        <w:rPr>
          <w:b/>
          <w:i w:val="0"/>
          <w:smallCaps w:val="0"/>
          <w:strike w:val="0"/>
          <w:sz w:val="22"/>
          <w:u w:val="single"/>
        </w:rPr>
        <w:t>agent</w:t>
      </w:r>
      <w:r>
        <w:rPr>
          <w:b/>
          <w:i w:val="0"/>
          <w:smallCaps w:val="0"/>
          <w:strike w:val="0"/>
          <w:sz w:val="22"/>
          <w:u w:val="single"/>
        </w:rPr>
        <w:t xml:space="preserve"> of the Court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(Caplan 1988). </w:t>
      </w:r>
      <w:r>
        <w:rPr>
          <w:b/>
          <w:i w:val="0"/>
          <w:smallCaps w:val="0"/>
          <w:strike w:val="0"/>
          <w:sz w:val="22"/>
          <w:u w:val="single"/>
        </w:rPr>
        <w:t xml:space="preserve">She plays a </w:t>
      </w:r>
      <w:r>
        <w:rPr>
          <w:b/>
          <w:i w:val="0"/>
          <w:smallCaps w:val="0"/>
          <w:strike w:val="0"/>
          <w:sz w:val="22"/>
          <w:u w:val="single"/>
        </w:rPr>
        <w:t>special role for</w:t>
      </w:r>
      <w:r>
        <w:rPr>
          <w:b/>
          <w:i w:val="0"/>
          <w:smallCaps w:val="0"/>
          <w:strike w:val="0"/>
          <w:sz w:val="22"/>
          <w:u w:val="single"/>
        </w:rPr>
        <w:t xml:space="preserve"> the Court, </w:t>
      </w:r>
      <w:r>
        <w:rPr>
          <w:b/>
          <w:i w:val="0"/>
          <w:smallCaps w:val="0"/>
          <w:strike w:val="0"/>
          <w:sz w:val="22"/>
          <w:u w:val="single"/>
        </w:rPr>
        <w:t>screening cases</w:t>
      </w:r>
      <w:r>
        <w:rPr>
          <w:b/>
          <w:i w:val="0"/>
          <w:smallCaps w:val="0"/>
          <w:strike w:val="0"/>
          <w:sz w:val="22"/>
          <w:u w:val="single"/>
        </w:rPr>
        <w:t xml:space="preserve"> and advocating positions that advance the goals of the Court as an </w:t>
      </w:r>
      <w:r>
        <w:rPr>
          <w:b/>
          <w:i w:val="0"/>
          <w:smallCaps w:val="0"/>
          <w:strike w:val="0"/>
          <w:sz w:val="22"/>
          <w:u w:val="single"/>
        </w:rPr>
        <w:t>institution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Salokar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1992). As one former clerk told us, the </w:t>
      </w:r>
      <w:r>
        <w:rPr>
          <w:b/>
          <w:i w:val="0"/>
          <w:smallCaps w:val="0"/>
          <w:strike w:val="0"/>
          <w:sz w:val="22"/>
          <w:u w:val="single"/>
        </w:rPr>
        <w:t>SG</w:t>
      </w:r>
      <w:r>
        <w:rPr>
          <w:b/>
          <w:i w:val="0"/>
          <w:smallCaps w:val="0"/>
          <w:strike w:val="0"/>
          <w:sz w:val="22"/>
          <w:u w:val="single"/>
        </w:rPr>
        <w:t xml:space="preserve"> is expected to “play as an </w:t>
      </w:r>
      <w:r>
        <w:rPr>
          <w:b/>
          <w:i w:val="0"/>
          <w:smallCaps w:val="0"/>
          <w:strike w:val="0"/>
          <w:sz w:val="22"/>
          <w:u w:val="single"/>
        </w:rPr>
        <w:t>honest broker</w:t>
      </w:r>
      <w:r>
        <w:rPr>
          <w:b/>
          <w:i w:val="0"/>
          <w:smallCaps w:val="0"/>
          <w:strike w:val="0"/>
          <w:sz w:val="22"/>
          <w:u w:val="single"/>
        </w:rPr>
        <w:t xml:space="preserve"> of the facts”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when communicating with the Court</w:t>
      </w:r>
      <w:r>
        <w:rPr>
          <w:b w:val="0"/>
          <w:i w:val="0"/>
          <w:smallCaps w:val="0"/>
          <w:strike w:val="0"/>
          <w:sz w:val="16"/>
          <w:u w:val="none"/>
        </w:rPr>
        <w:t>. Perry’s (1991, 132) seminal text likewise is replete with comments from justices who assert that the SG aids the Court: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Every </w:t>
      </w:r>
      <w:r>
        <w:rPr>
          <w:b/>
          <w:i w:val="0"/>
          <w:smallCaps w:val="0"/>
          <w:strike w:val="0"/>
          <w:sz w:val="22"/>
          <w:u w:val="single"/>
        </w:rPr>
        <w:t>solicitor general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. . . </w:t>
      </w:r>
      <w:r>
        <w:rPr>
          <w:b/>
          <w:i w:val="0"/>
          <w:smallCaps w:val="0"/>
          <w:strike w:val="0"/>
          <w:sz w:val="22"/>
          <w:u w:val="single"/>
        </w:rPr>
        <w:t xml:space="preserve">has taken this job </w:t>
      </w:r>
      <w:r>
        <w:rPr>
          <w:b/>
          <w:i w:val="0"/>
          <w:smallCaps w:val="0"/>
          <w:strike w:val="0"/>
          <w:sz w:val="22"/>
          <w:u w:val="single"/>
        </w:rPr>
        <w:t>very seriously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. . . not to get us to take things that don’t require our attention relative to other things that do. </w:t>
      </w:r>
      <w:r>
        <w:rPr>
          <w:b/>
          <w:i w:val="0"/>
          <w:smallCaps w:val="0"/>
          <w:strike w:val="0"/>
          <w:sz w:val="22"/>
          <w:u w:val="single"/>
        </w:rPr>
        <w:t xml:space="preserve">They are very </w:t>
      </w:r>
      <w:r>
        <w:rPr>
          <w:b/>
          <w:i w:val="0"/>
          <w:smallCaps w:val="0"/>
          <w:strike w:val="0"/>
          <w:sz w:val="22"/>
          <w:u w:val="single"/>
        </w:rPr>
        <w:t>careful</w:t>
      </w:r>
      <w:r>
        <w:rPr>
          <w:b/>
          <w:i w:val="0"/>
          <w:smallCaps w:val="0"/>
          <w:strike w:val="0"/>
          <w:sz w:val="22"/>
          <w:u w:val="single"/>
        </w:rPr>
        <w:t xml:space="preserve"> in their </w:t>
      </w:r>
      <w:r>
        <w:rPr>
          <w:b/>
          <w:i w:val="0"/>
          <w:smallCaps w:val="0"/>
          <w:strike w:val="0"/>
          <w:sz w:val="22"/>
          <w:u w:val="single"/>
        </w:rPr>
        <w:t>screening</w:t>
      </w:r>
      <w:r>
        <w:rPr>
          <w:b/>
          <w:i w:val="0"/>
          <w:smallCaps w:val="0"/>
          <w:strike w:val="0"/>
          <w:sz w:val="22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</w:t>
      </w:r>
      <w:r>
        <w:rPr>
          <w:b/>
          <w:i w:val="0"/>
          <w:smallCaps w:val="0"/>
          <w:strike w:val="0"/>
          <w:sz w:val="22"/>
          <w:u w:val="single"/>
        </w:rPr>
        <w:t xml:space="preserve">exercise </w:t>
      </w:r>
      <w:r>
        <w:rPr>
          <w:b/>
          <w:i w:val="0"/>
          <w:smallCaps w:val="0"/>
          <w:strike w:val="0"/>
          <w:sz w:val="22"/>
          <w:u w:val="single"/>
        </w:rPr>
        <w:t>veto</w:t>
      </w:r>
      <w:r>
        <w:rPr>
          <w:b/>
          <w:i w:val="0"/>
          <w:smallCaps w:val="0"/>
          <w:strike w:val="0"/>
          <w:sz w:val="22"/>
          <w:u w:val="single"/>
        </w:rPr>
        <w:t xml:space="preserve"> over what can be </w:t>
      </w:r>
      <w:r>
        <w:rPr>
          <w:b/>
          <w:i w:val="0"/>
          <w:smallCaps w:val="0"/>
          <w:strike w:val="0"/>
          <w:sz w:val="22"/>
          <w:u w:val="single"/>
        </w:rPr>
        <w:t>brought</w:t>
      </w:r>
      <w:r>
        <w:rPr>
          <w:b/>
          <w:i w:val="0"/>
          <w:smallCaps w:val="0"/>
          <w:strike w:val="0"/>
          <w:sz w:val="22"/>
          <w:u w:val="single"/>
        </w:rPr>
        <w:t xml:space="preserve"> to the board.</w:t>
      </w:r>
    </w:p>
    <w:p>
      <w:pPr>
        <w:pStyle w:val="Caption"/>
      </w:pPr>
      <w:r>
        <w:t>Source: CVSG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