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Court snubbing SG moves for a more active role now. 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Robinson 21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[Kimberly Strawbridge; Supreme Court Reporter at Bloomberg BNA, JD from Columbia School of Law; 4/5/2021; "U.S. Solicitor General Snubbed Again by Supreme Court"; Bloomberg Law; </w:t>
      </w:r>
      <w:r>
        <w:rPr>
          <w:b w:val="0"/>
          <w:i w:val="0"/>
          <w:smallCaps w:val="0"/>
          <w:strike w:val="0"/>
          <w:sz w:val="16"/>
          <w:u w:val="none"/>
        </w:rPr>
        <w:t>https://news.bloomberglaw.com/us-law-week/u-s-solicitor-general-snubbed-again-by-supreme-court/ ;</w:t>
      </w:r>
      <w:r>
        <w:rPr>
          <w:b w:val="0"/>
          <w:i w:val="0"/>
          <w:smallCaps w:val="0"/>
          <w:strike w:val="0"/>
          <w:sz w:val="16"/>
          <w:u w:val="none"/>
        </w:rPr>
        <w:t xml:space="preserve">] </w:t>
      </w:r>
      <w:r>
        <w:rPr>
          <w:b w:val="0"/>
          <w:i w:val="0"/>
          <w:smallCaps w:val="0"/>
          <w:strike w:val="0"/>
          <w:sz w:val="16"/>
          <w:u w:val="none"/>
        </w:rPr>
        <w:t>s.low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The U.S. Supreme </w:t>
      </w:r>
      <w:r>
        <w:rPr>
          <w:b/>
          <w:i w:val="0"/>
          <w:smallCaps w:val="0"/>
          <w:strike w:val="0"/>
          <w:sz w:val="22"/>
          <w:u w:val="single"/>
        </w:rPr>
        <w:t>Court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on Monday </w:t>
      </w:r>
      <w:r>
        <w:rPr>
          <w:b/>
          <w:i w:val="0"/>
          <w:smallCaps w:val="0"/>
          <w:strike w:val="0"/>
          <w:sz w:val="22"/>
          <w:u w:val="single"/>
        </w:rPr>
        <w:t>denied the federal government’s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>request to argue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in an upcoming case, </w:t>
      </w:r>
      <w:r>
        <w:rPr>
          <w:b/>
          <w:i w:val="0"/>
          <w:smallCaps w:val="0"/>
          <w:strike w:val="0"/>
          <w:sz w:val="22"/>
          <w:u w:val="single"/>
        </w:rPr>
        <w:t>something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 court has </w:t>
      </w:r>
      <w:r>
        <w:rPr>
          <w:b/>
          <w:i w:val="0"/>
          <w:smallCaps w:val="0"/>
          <w:strike w:val="0"/>
          <w:sz w:val="22"/>
          <w:u w:val="single"/>
        </w:rPr>
        <w:t>done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just </w:t>
      </w:r>
      <w:r>
        <w:rPr>
          <w:b/>
          <w:i w:val="0"/>
          <w:smallCaps w:val="0"/>
          <w:strike w:val="0"/>
          <w:sz w:val="22"/>
          <w:u w:val="single"/>
        </w:rPr>
        <w:t>three times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>in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 </w:t>
      </w:r>
      <w:r>
        <w:rPr>
          <w:b/>
          <w:i w:val="0"/>
          <w:smallCaps w:val="0"/>
          <w:strike w:val="0"/>
          <w:sz w:val="22"/>
          <w:u w:val="single"/>
        </w:rPr>
        <w:t>past two decades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 xml:space="preserve">and twice in </w:t>
      </w:r>
      <w:r>
        <w:rPr>
          <w:b/>
          <w:i w:val="0"/>
          <w:smallCaps w:val="0"/>
          <w:strike w:val="0"/>
          <w:sz w:val="22"/>
          <w:u w:val="single"/>
        </w:rPr>
        <w:t>under a year</w:t>
      </w:r>
      <w:r>
        <w:rPr>
          <w:b/>
          <w:i w:val="0"/>
          <w:smallCaps w:val="0"/>
          <w:strike w:val="0"/>
          <w:sz w:val="22"/>
          <w:u w:val="singl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While the sample size is </w:t>
      </w:r>
      <w:r>
        <w:rPr>
          <w:b w:val="0"/>
          <w:i w:val="0"/>
          <w:smallCaps w:val="0"/>
          <w:strike w:val="0"/>
          <w:sz w:val="16"/>
          <w:u w:val="none"/>
        </w:rPr>
        <w:t>pretty small</w:t>
      </w:r>
      <w:r>
        <w:rPr>
          <w:b w:val="0"/>
          <w:i w:val="0"/>
          <w:smallCaps w:val="0"/>
          <w:strike w:val="0"/>
          <w:sz w:val="16"/>
          <w:u w:val="none"/>
        </w:rPr>
        <w:t>— the two most recent “</w:t>
      </w:r>
      <w:r>
        <w:rPr>
          <w:b/>
          <w:i w:val="0"/>
          <w:smallCaps w:val="0"/>
          <w:strike w:val="0"/>
          <w:sz w:val="22"/>
          <w:u w:val="single"/>
        </w:rPr>
        <w:t>token denials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” </w:t>
      </w:r>
      <w:r>
        <w:rPr>
          <w:b/>
          <w:i w:val="0"/>
          <w:smallCaps w:val="0"/>
          <w:strike w:val="0"/>
          <w:sz w:val="22"/>
          <w:u w:val="single"/>
        </w:rPr>
        <w:t>could be “the beginning of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 subtle </w:t>
      </w:r>
      <w:r>
        <w:rPr>
          <w:b/>
          <w:i w:val="0"/>
          <w:smallCaps w:val="0"/>
          <w:strike w:val="0"/>
          <w:sz w:val="22"/>
          <w:u w:val="single"/>
        </w:rPr>
        <w:t>message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>from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 </w:t>
      </w:r>
      <w:r>
        <w:rPr>
          <w:b/>
          <w:i w:val="0"/>
          <w:smallCaps w:val="0"/>
          <w:strike w:val="0"/>
          <w:sz w:val="22"/>
          <w:u w:val="single"/>
        </w:rPr>
        <w:t>Court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 xml:space="preserve">for the SG to engage in more </w:t>
      </w:r>
      <w:r>
        <w:rPr>
          <w:b/>
          <w:i w:val="0"/>
          <w:smallCaps w:val="0"/>
          <w:strike w:val="0"/>
          <w:sz w:val="22"/>
          <w:u w:val="single"/>
        </w:rPr>
        <w:t>self-regulation</w:t>
      </w:r>
      <w:r>
        <w:rPr>
          <w:b w:val="0"/>
          <w:i w:val="0"/>
          <w:smallCaps w:val="0"/>
          <w:strike w:val="0"/>
          <w:sz w:val="16"/>
          <w:u w:val="none"/>
        </w:rPr>
        <w:t>” when asking for precious argument time, said University of Texas law professor Stephen I. Vladeck.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Vladeck noted that the government’s lawyer at the high court “is seeking to participate in a far larger percentage of cases than was true as recently as 20 years ago.”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At the same time, the court, steeped in habit and tradition, almost never allows other parties to argue as amicus or friend-of-the court—a non-party that weighs in on one side or the other.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The court granted only 14 of 41 motions for amicus oral argument by other litigants </w:t>
      </w:r>
      <w:r>
        <w:rPr>
          <w:b/>
          <w:i w:val="0"/>
          <w:smallCaps w:val="0"/>
          <w:strike w:val="0"/>
          <w:sz w:val="22"/>
          <w:u w:val="single"/>
        </w:rPr>
        <w:t>between the 2010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>and 2019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terms, according to a forthcoming law review article by Yale law graduates A. J. Wang and Darcy Covert.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Over that same period, the </w:t>
      </w:r>
      <w:r>
        <w:rPr>
          <w:b/>
          <w:i w:val="0"/>
          <w:smallCaps w:val="0"/>
          <w:strike w:val="0"/>
          <w:sz w:val="22"/>
          <w:u w:val="single"/>
        </w:rPr>
        <w:t xml:space="preserve">justices granted </w:t>
      </w:r>
      <w:r>
        <w:rPr>
          <w:b/>
          <w:i w:val="0"/>
          <w:smallCaps w:val="0"/>
          <w:strike w:val="0"/>
          <w:sz w:val="22"/>
          <w:u w:val="single"/>
        </w:rPr>
        <w:t>311 of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 Justice </w:t>
      </w:r>
      <w:r>
        <w:rPr>
          <w:b/>
          <w:i w:val="0"/>
          <w:smallCaps w:val="0"/>
          <w:strike w:val="0"/>
          <w:sz w:val="22"/>
          <w:u w:val="single"/>
        </w:rPr>
        <w:t xml:space="preserve">Department’s </w:t>
      </w:r>
      <w:r>
        <w:rPr>
          <w:b/>
          <w:i w:val="0"/>
          <w:smallCaps w:val="0"/>
          <w:strike w:val="0"/>
          <w:sz w:val="22"/>
          <w:u w:val="single"/>
        </w:rPr>
        <w:t>312</w:t>
      </w:r>
      <w:r>
        <w:rPr>
          <w:b/>
          <w:i w:val="0"/>
          <w:smallCaps w:val="0"/>
          <w:strike w:val="0"/>
          <w:sz w:val="22"/>
          <w:u w:val="single"/>
        </w:rPr>
        <w:t xml:space="preserve"> requests</w:t>
      </w:r>
      <w:r>
        <w:rPr>
          <w:b w:val="0"/>
          <w:i w:val="0"/>
          <w:smallCaps w:val="0"/>
          <w:strike w:val="0"/>
          <w:sz w:val="16"/>
          <w:u w:val="none"/>
        </w:rPr>
        <w:t>, the article says.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Those cases often implicate federal interests, even if the government isn’t an official party.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Earlier this term, the government argued as an amicus in a case asking whether a federal benefits law preempted state requirements. “The Secretary of Labor has primary authority for administering” the federal law at issue, the solicitor general told the justices.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Federal Interest</w:t>
      </w:r>
    </w:p>
    <w:p>
      <w:pPr>
        <w:spacing w:after="60"/>
      </w:pPr>
      <w:r>
        <w:rPr>
          <w:b/>
          <w:i w:val="0"/>
          <w:smallCaps w:val="0"/>
          <w:strike w:val="0"/>
          <w:sz w:val="22"/>
          <w:u w:val="single"/>
        </w:rPr>
        <w:t>But in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just </w:t>
      </w:r>
      <w:r>
        <w:rPr>
          <w:b/>
          <w:i w:val="0"/>
          <w:smallCaps w:val="0"/>
          <w:strike w:val="0"/>
          <w:sz w:val="22"/>
          <w:u w:val="single"/>
        </w:rPr>
        <w:t>under a year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the </w:t>
      </w:r>
      <w:r>
        <w:rPr>
          <w:b/>
          <w:i w:val="0"/>
          <w:smallCaps w:val="0"/>
          <w:strike w:val="0"/>
          <w:sz w:val="22"/>
          <w:u w:val="single"/>
        </w:rPr>
        <w:t xml:space="preserve">court has now </w:t>
      </w:r>
      <w:r>
        <w:rPr>
          <w:b/>
          <w:i w:val="0"/>
          <w:smallCaps w:val="0"/>
          <w:strike w:val="0"/>
          <w:sz w:val="22"/>
          <w:u w:val="single"/>
        </w:rPr>
        <w:t>denied two requests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from the federal government to argue as an amicus, including a jurisdictional dispute the justices heard earlier in the term.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The court’s one sentence order didn’t explain why the justices rejected the government’s latest request.</w:t>
      </w:r>
    </w:p>
    <w:p>
      <w:pPr>
        <w:spacing w:after="60"/>
      </w:pPr>
      <w:r>
        <w:rPr>
          <w:b/>
          <w:i w:val="0"/>
          <w:smallCaps w:val="0"/>
          <w:strike w:val="0"/>
          <w:sz w:val="22"/>
          <w:u w:val="single"/>
        </w:rPr>
        <w:t>Occasional denials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could </w:t>
      </w:r>
      <w:r>
        <w:rPr>
          <w:b/>
          <w:i w:val="0"/>
          <w:smallCaps w:val="0"/>
          <w:strike w:val="0"/>
          <w:sz w:val="22"/>
          <w:u w:val="single"/>
        </w:rPr>
        <w:t xml:space="preserve">serve “to keep the government </w:t>
      </w:r>
      <w:r>
        <w:rPr>
          <w:b/>
          <w:i w:val="0"/>
          <w:smallCaps w:val="0"/>
          <w:strike w:val="0"/>
          <w:sz w:val="22"/>
          <w:u w:val="single"/>
        </w:rPr>
        <w:t>from being complacent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>about its right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to </w:t>
      </w:r>
      <w:r>
        <w:rPr>
          <w:b/>
          <w:i w:val="0"/>
          <w:smallCaps w:val="0"/>
          <w:strike w:val="0"/>
          <w:sz w:val="22"/>
          <w:u w:val="single"/>
        </w:rPr>
        <w:t>participate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>in argument whenever it wants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to,” said former Assistant to the Solicitor General Elaine Goldenberg, who is now a partner at Munger, Tolles.</w:t>
      </w:r>
    </w:p>
    <w:p>
      <w:pPr>
        <w:pStyle w:val="Caption"/>
      </w:pPr>
      <w:r>
        <w:t>Source: CVSG CP - Michigan 7 2024 BFHR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